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30781" w14:textId="0EBD2408" w:rsidR="00547BD6" w:rsidRPr="00547BD6" w:rsidRDefault="00547BD6" w:rsidP="00547BD6">
      <w:pPr>
        <w:spacing w:before="100" w:beforeAutospacing="1" w:after="100" w:afterAutospacing="1"/>
        <w:rPr>
          <w:rFonts w:ascii="Times New Roman" w:eastAsia="Times New Roman" w:hAnsi="Times New Roman" w:cs="Times New Roman"/>
          <w:sz w:val="24"/>
          <w:szCs w:val="24"/>
          <w:lang w:eastAsia="en-CA"/>
        </w:rPr>
      </w:pPr>
      <w:r w:rsidRPr="00547BD6">
        <w:rPr>
          <w:rFonts w:ascii="Times New Roman" w:eastAsia="Times New Roman" w:hAnsi="Times New Roman" w:cs="Times New Roman"/>
          <w:b/>
          <w:bCs/>
          <w:sz w:val="24"/>
          <w:szCs w:val="24"/>
          <w:lang w:eastAsia="en-CA"/>
        </w:rPr>
        <w:t>Subject:</w:t>
      </w:r>
      <w:r w:rsidRPr="00547BD6">
        <w:rPr>
          <w:rFonts w:ascii="Times New Roman" w:eastAsia="Times New Roman" w:hAnsi="Times New Roman" w:cs="Times New Roman"/>
          <w:sz w:val="24"/>
          <w:szCs w:val="24"/>
          <w:lang w:eastAsia="en-CA"/>
        </w:rPr>
        <w:t xml:space="preserve"> </w:t>
      </w:r>
      <w:r w:rsidR="00EC0494">
        <w:rPr>
          <w:rFonts w:ascii="Times New Roman" w:eastAsia="Times New Roman" w:hAnsi="Times New Roman" w:cs="Times New Roman"/>
          <w:sz w:val="24"/>
          <w:szCs w:val="24"/>
          <w:lang w:eastAsia="en-CA"/>
        </w:rPr>
        <w:t>Eligibility Criteria and Membership Tiers</w:t>
      </w:r>
    </w:p>
    <w:p w14:paraId="5DA3CC35" w14:textId="4E6BAE06" w:rsidR="00547BD6" w:rsidRPr="00547BD6" w:rsidRDefault="00547BD6" w:rsidP="00547BD6">
      <w:pPr>
        <w:spacing w:before="100" w:beforeAutospacing="1" w:after="100" w:afterAutospacing="1"/>
        <w:rPr>
          <w:rFonts w:ascii="Times New Roman" w:eastAsia="Times New Roman" w:hAnsi="Times New Roman" w:cs="Times New Roman"/>
          <w:sz w:val="24"/>
          <w:szCs w:val="24"/>
          <w:lang w:eastAsia="en-CA"/>
        </w:rPr>
      </w:pPr>
      <w:r w:rsidRPr="00547BD6">
        <w:rPr>
          <w:rFonts w:ascii="Times New Roman" w:eastAsia="Times New Roman" w:hAnsi="Times New Roman" w:cs="Times New Roman"/>
          <w:b/>
          <w:bCs/>
          <w:sz w:val="24"/>
          <w:szCs w:val="24"/>
          <w:lang w:eastAsia="en-CA"/>
        </w:rPr>
        <w:t xml:space="preserve">Prepared by: </w:t>
      </w:r>
      <w:r w:rsidR="00EC0494">
        <w:rPr>
          <w:rFonts w:ascii="Times New Roman" w:eastAsia="Times New Roman" w:hAnsi="Times New Roman" w:cs="Times New Roman"/>
          <w:sz w:val="24"/>
          <w:szCs w:val="24"/>
          <w:lang w:eastAsia="en-CA"/>
        </w:rPr>
        <w:t>Implementation Working Group</w:t>
      </w:r>
    </w:p>
    <w:p w14:paraId="6FDE001E" w14:textId="22D24A44" w:rsidR="00547BD6" w:rsidRPr="00547BD6" w:rsidRDefault="00547BD6" w:rsidP="00547BD6">
      <w:pPr>
        <w:spacing w:before="100" w:beforeAutospacing="1" w:after="100" w:afterAutospacing="1"/>
        <w:rPr>
          <w:rFonts w:ascii="Times New Roman" w:eastAsia="Times New Roman" w:hAnsi="Times New Roman" w:cs="Times New Roman"/>
          <w:sz w:val="24"/>
          <w:szCs w:val="24"/>
          <w:lang w:eastAsia="en-CA"/>
        </w:rPr>
      </w:pPr>
      <w:r w:rsidRPr="00547BD6">
        <w:rPr>
          <w:rFonts w:ascii="Times New Roman" w:eastAsia="Times New Roman" w:hAnsi="Times New Roman" w:cs="Times New Roman"/>
          <w:b/>
          <w:bCs/>
          <w:sz w:val="24"/>
          <w:szCs w:val="24"/>
          <w:lang w:eastAsia="en-CA"/>
        </w:rPr>
        <w:t xml:space="preserve">Date: </w:t>
      </w:r>
      <w:r w:rsidR="008E65C1">
        <w:rPr>
          <w:rFonts w:ascii="Times New Roman" w:eastAsia="Times New Roman" w:hAnsi="Times New Roman" w:cs="Times New Roman"/>
          <w:b/>
          <w:bCs/>
          <w:sz w:val="24"/>
          <w:szCs w:val="24"/>
          <w:lang w:eastAsia="en-CA"/>
        </w:rPr>
        <w:t xml:space="preserve"> </w:t>
      </w:r>
      <w:r w:rsidR="008E65C1" w:rsidRPr="008E65C1">
        <w:rPr>
          <w:rFonts w:ascii="Times New Roman" w:eastAsia="Times New Roman" w:hAnsi="Times New Roman" w:cs="Times New Roman"/>
          <w:sz w:val="24"/>
          <w:szCs w:val="24"/>
          <w:lang w:eastAsia="en-CA"/>
        </w:rPr>
        <w:t>February 16, 2021</w:t>
      </w:r>
    </w:p>
    <w:p w14:paraId="32B76A32" w14:textId="4522966A" w:rsidR="00547BD6" w:rsidRPr="00547BD6" w:rsidRDefault="00547BD6" w:rsidP="00547BD6">
      <w:pPr>
        <w:spacing w:before="100" w:beforeAutospacing="1" w:after="100" w:afterAutospacing="1"/>
        <w:rPr>
          <w:rFonts w:ascii="Times New Roman" w:eastAsia="Times New Roman" w:hAnsi="Times New Roman" w:cs="Times New Roman"/>
          <w:sz w:val="24"/>
          <w:szCs w:val="24"/>
          <w:lang w:eastAsia="en-CA"/>
        </w:rPr>
      </w:pPr>
      <w:r w:rsidRPr="00547BD6">
        <w:rPr>
          <w:rFonts w:ascii="Times New Roman" w:eastAsia="Times New Roman" w:hAnsi="Times New Roman" w:cs="Times New Roman"/>
          <w:b/>
          <w:bCs/>
          <w:sz w:val="24"/>
          <w:szCs w:val="24"/>
          <w:lang w:eastAsia="en-CA"/>
        </w:rPr>
        <w:t>Submitted to:</w:t>
      </w:r>
      <w:r w:rsidR="008E65C1">
        <w:rPr>
          <w:rFonts w:ascii="Times New Roman" w:eastAsia="Times New Roman" w:hAnsi="Times New Roman" w:cs="Times New Roman"/>
          <w:b/>
          <w:bCs/>
          <w:sz w:val="24"/>
          <w:szCs w:val="24"/>
          <w:lang w:eastAsia="en-CA"/>
        </w:rPr>
        <w:t xml:space="preserve">  </w:t>
      </w:r>
      <w:r w:rsidR="008E65C1" w:rsidRPr="008E65C1">
        <w:rPr>
          <w:rFonts w:ascii="Times New Roman" w:eastAsia="Times New Roman" w:hAnsi="Times New Roman" w:cs="Times New Roman"/>
          <w:sz w:val="24"/>
          <w:szCs w:val="24"/>
          <w:lang w:eastAsia="en-CA"/>
        </w:rPr>
        <w:t>Leadership Team</w:t>
      </w:r>
    </w:p>
    <w:p w14:paraId="4171DE33" w14:textId="77777777" w:rsidR="00547BD6" w:rsidRPr="00547BD6" w:rsidRDefault="00E14D43" w:rsidP="00547BD6">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7400269C">
          <v:rect id="_x0000_i1025" style="width:0;height:1.5pt" o:hralign="center" o:hrstd="t" o:hr="t" fillcolor="#a0a0a0" stroked="f"/>
        </w:pict>
      </w:r>
    </w:p>
    <w:p w14:paraId="033BD0FB" w14:textId="77777777" w:rsidR="00547BD6" w:rsidRPr="00547BD6" w:rsidRDefault="00547BD6" w:rsidP="00547BD6">
      <w:pPr>
        <w:pStyle w:val="Heading1"/>
        <w:rPr>
          <w:rFonts w:eastAsia="Times New Roman"/>
          <w:lang w:eastAsia="en-CA"/>
        </w:rPr>
      </w:pPr>
      <w:r w:rsidRPr="00547BD6">
        <w:rPr>
          <w:rFonts w:eastAsia="Times New Roman"/>
          <w:lang w:eastAsia="en-CA"/>
        </w:rPr>
        <w:t>Background</w:t>
      </w:r>
    </w:p>
    <w:p w14:paraId="748FD294" w14:textId="1487BDF7" w:rsidR="001C069F" w:rsidRDefault="001C069F" w:rsidP="001C069F">
      <w:r>
        <w:t xml:space="preserve">As we work to bring allied health positions into the PCN, we must outline eligibility criteria and membership responsibilities.  This ensures that our members clearly understand what we expect from them and what supports we are offering.  </w:t>
      </w:r>
    </w:p>
    <w:p w14:paraId="4C8E6649" w14:textId="77777777" w:rsidR="001C069F" w:rsidRDefault="001C069F" w:rsidP="001C069F"/>
    <w:p w14:paraId="0DF6EC4B" w14:textId="77777777" w:rsidR="001C069F" w:rsidRDefault="001C069F" w:rsidP="001C069F">
      <w:r>
        <w:t>The Implementation Working Group has reviewed and approved the eligibility criteria and a tiered membership.</w:t>
      </w:r>
    </w:p>
    <w:p w14:paraId="53E826B1" w14:textId="77777777" w:rsidR="00547BD6" w:rsidRPr="00547BD6" w:rsidRDefault="00547BD6" w:rsidP="001C069F">
      <w:pPr>
        <w:pStyle w:val="Heading1"/>
        <w:rPr>
          <w:rFonts w:eastAsia="Times New Roman"/>
          <w:lang w:eastAsia="en-CA"/>
        </w:rPr>
      </w:pPr>
      <w:r w:rsidRPr="00547BD6">
        <w:rPr>
          <w:rFonts w:eastAsia="Times New Roman"/>
          <w:lang w:eastAsia="en-CA"/>
        </w:rPr>
        <w:t>Options</w:t>
      </w:r>
    </w:p>
    <w:p w14:paraId="3ADFEF98" w14:textId="77777777" w:rsidR="00AD12A2" w:rsidRPr="00AD12A2" w:rsidRDefault="00AD12A2" w:rsidP="001C069F">
      <w:pPr>
        <w:pStyle w:val="Heading1"/>
        <w:rPr>
          <w:rFonts w:eastAsia="Times New Roman"/>
          <w:lang w:eastAsia="en-CA"/>
        </w:rPr>
      </w:pPr>
      <w:r w:rsidRPr="00AD12A2">
        <w:rPr>
          <w:rFonts w:eastAsia="Times New Roman"/>
          <w:lang w:eastAsia="en-CA"/>
        </w:rPr>
        <w:t>Primary Care Provider Eligibility</w:t>
      </w:r>
    </w:p>
    <w:p w14:paraId="3BF77FF9" w14:textId="77777777" w:rsidR="00AD12A2" w:rsidRPr="00AD12A2" w:rsidRDefault="00AD12A2" w:rsidP="00AD12A2">
      <w:pPr>
        <w:rPr>
          <w:rFonts w:eastAsia="Times New Roman" w:cstheme="minorHAnsi"/>
          <w:sz w:val="24"/>
          <w:szCs w:val="24"/>
          <w:lang w:eastAsia="en-CA"/>
        </w:rPr>
      </w:pPr>
      <w:r w:rsidRPr="00AD12A2">
        <w:rPr>
          <w:rFonts w:eastAsia="Times New Roman" w:cstheme="minorHAnsi"/>
          <w:sz w:val="24"/>
          <w:szCs w:val="24"/>
          <w:lang w:eastAsia="en-CA"/>
        </w:rPr>
        <w:t>We recognize there is a wide variety of providers, organizations and settings that deliver primary care to the Oceanside area. Therefore, we are defining our PCN broadly, and consider it to be a community practice where people get the majority of their care, which includes primary care clinics, walk-in clinics, health centers in Indigenous communities and community in general.</w:t>
      </w:r>
    </w:p>
    <w:p w14:paraId="20F5408F" w14:textId="77777777" w:rsidR="00AD12A2" w:rsidRPr="00AD12A2" w:rsidRDefault="00AD12A2" w:rsidP="00AD12A2">
      <w:pPr>
        <w:rPr>
          <w:rFonts w:eastAsia="Times New Roman" w:cstheme="minorHAnsi"/>
          <w:sz w:val="24"/>
          <w:szCs w:val="24"/>
          <w:lang w:eastAsia="en-CA"/>
        </w:rPr>
      </w:pPr>
    </w:p>
    <w:p w14:paraId="7BBA8443" w14:textId="77777777" w:rsidR="00AD12A2" w:rsidRPr="00AD12A2" w:rsidRDefault="00AD12A2" w:rsidP="00AD12A2">
      <w:pPr>
        <w:rPr>
          <w:rFonts w:eastAsia="Times New Roman" w:cstheme="minorHAnsi"/>
          <w:sz w:val="24"/>
          <w:szCs w:val="24"/>
          <w:lang w:eastAsia="en-CA"/>
        </w:rPr>
      </w:pPr>
      <w:r w:rsidRPr="00AD12A2">
        <w:rPr>
          <w:rFonts w:eastAsia="Times New Roman" w:cstheme="minorHAnsi"/>
          <w:sz w:val="24"/>
          <w:szCs w:val="24"/>
          <w:lang w:eastAsia="en-CA"/>
        </w:rPr>
        <w:t>All primary care clinics within the Oceanside area may apply to join the PCN, on the following terms;</w:t>
      </w:r>
    </w:p>
    <w:p w14:paraId="3D710822" w14:textId="77777777" w:rsidR="00AD12A2" w:rsidRPr="00AD12A2" w:rsidRDefault="00AD12A2" w:rsidP="00AD12A2">
      <w:pPr>
        <w:numPr>
          <w:ilvl w:val="0"/>
          <w:numId w:val="5"/>
        </w:numPr>
        <w:spacing w:before="100" w:beforeAutospacing="1" w:after="100" w:afterAutospacing="1" w:line="259" w:lineRule="auto"/>
        <w:rPr>
          <w:rFonts w:eastAsia="Times New Roman" w:cstheme="minorHAnsi"/>
          <w:sz w:val="24"/>
          <w:szCs w:val="24"/>
          <w:lang w:eastAsia="en-CA"/>
        </w:rPr>
      </w:pPr>
      <w:r w:rsidRPr="00AD12A2">
        <w:rPr>
          <w:rFonts w:eastAsia="Times New Roman" w:cstheme="minorHAnsi"/>
          <w:sz w:val="24"/>
          <w:szCs w:val="24"/>
          <w:lang w:eastAsia="en-CA"/>
        </w:rPr>
        <w:t>Member clinics will identify a physician and administrative PCN lead</w:t>
      </w:r>
    </w:p>
    <w:p w14:paraId="3451DBB1" w14:textId="77777777" w:rsidR="00AD12A2" w:rsidRPr="00AD12A2" w:rsidRDefault="00AD12A2" w:rsidP="00AD12A2">
      <w:pPr>
        <w:numPr>
          <w:ilvl w:val="0"/>
          <w:numId w:val="5"/>
        </w:numPr>
        <w:spacing w:before="100" w:beforeAutospacing="1" w:after="100" w:afterAutospacing="1" w:line="259" w:lineRule="auto"/>
        <w:rPr>
          <w:rFonts w:eastAsia="Times New Roman" w:cstheme="minorHAnsi"/>
          <w:sz w:val="24"/>
          <w:szCs w:val="24"/>
          <w:lang w:eastAsia="en-CA"/>
        </w:rPr>
      </w:pPr>
      <w:r w:rsidRPr="00AD12A2">
        <w:rPr>
          <w:rFonts w:eastAsia="Times New Roman" w:cstheme="minorHAnsi"/>
          <w:sz w:val="24"/>
          <w:szCs w:val="24"/>
          <w:lang w:eastAsia="en-CA"/>
        </w:rPr>
        <w:t>Member clinics will participate in:</w:t>
      </w:r>
    </w:p>
    <w:p w14:paraId="4365D8E3" w14:textId="77777777" w:rsidR="00AD12A2" w:rsidRPr="00AD12A2" w:rsidRDefault="00AD12A2" w:rsidP="00AD12A2">
      <w:pPr>
        <w:numPr>
          <w:ilvl w:val="1"/>
          <w:numId w:val="5"/>
        </w:numPr>
        <w:spacing w:before="100" w:beforeAutospacing="1" w:after="100" w:afterAutospacing="1" w:line="259" w:lineRule="auto"/>
        <w:rPr>
          <w:rFonts w:eastAsia="Times New Roman" w:cstheme="minorHAnsi"/>
          <w:sz w:val="24"/>
          <w:szCs w:val="24"/>
          <w:lang w:eastAsia="en-CA"/>
        </w:rPr>
      </w:pPr>
      <w:r w:rsidRPr="00AD12A2">
        <w:rPr>
          <w:rFonts w:eastAsia="Times New Roman" w:cstheme="minorHAnsi"/>
          <w:sz w:val="24"/>
          <w:szCs w:val="24"/>
          <w:lang w:eastAsia="en-CA"/>
        </w:rPr>
        <w:t>working groups (funded through Division funding)</w:t>
      </w:r>
    </w:p>
    <w:p w14:paraId="353E5029" w14:textId="77777777" w:rsidR="00AD12A2" w:rsidRPr="00AD12A2" w:rsidRDefault="00AD12A2" w:rsidP="00AD12A2">
      <w:pPr>
        <w:numPr>
          <w:ilvl w:val="1"/>
          <w:numId w:val="5"/>
        </w:numPr>
        <w:spacing w:before="100" w:beforeAutospacing="1" w:after="100" w:afterAutospacing="1" w:line="259" w:lineRule="auto"/>
        <w:rPr>
          <w:rFonts w:eastAsia="Times New Roman" w:cstheme="minorHAnsi"/>
          <w:sz w:val="24"/>
          <w:szCs w:val="24"/>
          <w:lang w:eastAsia="en-CA"/>
        </w:rPr>
      </w:pPr>
      <w:r w:rsidRPr="00AD12A2">
        <w:rPr>
          <w:rFonts w:eastAsia="Times New Roman" w:cstheme="minorHAnsi"/>
          <w:sz w:val="24"/>
          <w:szCs w:val="24"/>
          <w:lang w:eastAsia="en-CA"/>
        </w:rPr>
        <w:t>Patient Experience Survey (Practice Support Program)</w:t>
      </w:r>
    </w:p>
    <w:p w14:paraId="32960A9D" w14:textId="77777777" w:rsidR="00AD12A2" w:rsidRPr="00AD12A2" w:rsidRDefault="00AD12A2" w:rsidP="00AD12A2">
      <w:pPr>
        <w:numPr>
          <w:ilvl w:val="1"/>
          <w:numId w:val="5"/>
        </w:numPr>
        <w:spacing w:before="100" w:beforeAutospacing="1" w:after="100" w:afterAutospacing="1" w:line="259" w:lineRule="auto"/>
        <w:rPr>
          <w:rFonts w:eastAsia="Times New Roman" w:cstheme="minorHAnsi"/>
          <w:sz w:val="24"/>
          <w:szCs w:val="24"/>
          <w:lang w:eastAsia="en-CA"/>
        </w:rPr>
      </w:pPr>
      <w:r w:rsidRPr="00AD12A2">
        <w:rPr>
          <w:rFonts w:eastAsia="Times New Roman" w:cstheme="minorHAnsi"/>
          <w:sz w:val="24"/>
          <w:szCs w:val="24"/>
          <w:lang w:eastAsia="en-CA"/>
        </w:rPr>
        <w:t>Panel Management with the Practice Support Program (PSP), panel clean up and ongoing maintenance every 6-12 months.</w:t>
      </w:r>
    </w:p>
    <w:p w14:paraId="4121FB15" w14:textId="77777777" w:rsidR="00AD12A2" w:rsidRPr="00AD12A2" w:rsidRDefault="00AD12A2" w:rsidP="00AD12A2">
      <w:pPr>
        <w:numPr>
          <w:ilvl w:val="0"/>
          <w:numId w:val="5"/>
        </w:numPr>
        <w:spacing w:before="100" w:beforeAutospacing="1" w:after="100" w:afterAutospacing="1" w:line="259" w:lineRule="auto"/>
        <w:rPr>
          <w:rFonts w:eastAsia="Times New Roman" w:cstheme="minorHAnsi"/>
          <w:sz w:val="24"/>
          <w:szCs w:val="24"/>
          <w:lang w:eastAsia="en-CA"/>
        </w:rPr>
      </w:pPr>
      <w:r w:rsidRPr="00AD12A2">
        <w:rPr>
          <w:rFonts w:eastAsia="Times New Roman" w:cstheme="minorHAnsi"/>
          <w:sz w:val="24"/>
          <w:szCs w:val="24"/>
          <w:lang w:eastAsia="en-CA"/>
        </w:rPr>
        <w:t>Make time to engage in team development and processes required to implement a team-based care model and work within a team</w:t>
      </w:r>
    </w:p>
    <w:p w14:paraId="4FAA2A7F" w14:textId="77777777" w:rsidR="00AD12A2" w:rsidRPr="00AD12A2" w:rsidRDefault="00AD12A2" w:rsidP="00AD12A2">
      <w:pPr>
        <w:numPr>
          <w:ilvl w:val="1"/>
          <w:numId w:val="5"/>
        </w:numPr>
        <w:spacing w:before="100" w:beforeAutospacing="1" w:after="100" w:afterAutospacing="1" w:line="259" w:lineRule="auto"/>
        <w:rPr>
          <w:rFonts w:eastAsia="Times New Roman" w:cstheme="minorHAnsi"/>
          <w:sz w:val="24"/>
          <w:szCs w:val="24"/>
          <w:lang w:eastAsia="en-CA"/>
        </w:rPr>
      </w:pPr>
      <w:r w:rsidRPr="00AD12A2">
        <w:rPr>
          <w:rFonts w:eastAsia="Times New Roman" w:cstheme="minorHAnsi"/>
          <w:sz w:val="24"/>
          <w:szCs w:val="24"/>
          <w:lang w:eastAsia="en-CA"/>
        </w:rPr>
        <w:t>Central Island Division of Family Practice’s Patient Medical Home and Primary Care Network initiatives as applicable (i.e. team-based care orientation/educational opportunities; reporting/evaluation; patient attachment imperatives)</w:t>
      </w:r>
    </w:p>
    <w:p w14:paraId="4E2D2A1F" w14:textId="77777777" w:rsidR="00AD12A2" w:rsidRPr="00AD12A2" w:rsidRDefault="00AD12A2" w:rsidP="00AD12A2">
      <w:pPr>
        <w:numPr>
          <w:ilvl w:val="0"/>
          <w:numId w:val="5"/>
        </w:numPr>
        <w:spacing w:before="100" w:beforeAutospacing="1" w:after="100" w:afterAutospacing="1" w:line="259" w:lineRule="auto"/>
        <w:rPr>
          <w:rFonts w:eastAsia="Times New Roman" w:cstheme="minorHAnsi"/>
          <w:sz w:val="24"/>
          <w:szCs w:val="24"/>
          <w:lang w:eastAsia="en-CA"/>
        </w:rPr>
      </w:pPr>
      <w:r w:rsidRPr="00AD12A2">
        <w:rPr>
          <w:rFonts w:eastAsia="Times New Roman" w:cstheme="minorHAnsi"/>
          <w:sz w:val="24"/>
          <w:szCs w:val="24"/>
          <w:lang w:eastAsia="en-CA"/>
        </w:rPr>
        <w:t>Member must ensure a respectful workplace code of conduct is in place</w:t>
      </w:r>
    </w:p>
    <w:p w14:paraId="35B5B4E3" w14:textId="77777777" w:rsidR="00AD12A2" w:rsidRPr="00AD12A2" w:rsidRDefault="00AD12A2" w:rsidP="00AD12A2">
      <w:pPr>
        <w:numPr>
          <w:ilvl w:val="0"/>
          <w:numId w:val="5"/>
        </w:numPr>
        <w:spacing w:before="100" w:beforeAutospacing="1" w:after="100" w:afterAutospacing="1" w:line="259" w:lineRule="auto"/>
        <w:rPr>
          <w:rFonts w:eastAsia="Times New Roman" w:cstheme="minorHAnsi"/>
          <w:sz w:val="24"/>
          <w:szCs w:val="24"/>
          <w:lang w:eastAsia="en-CA"/>
        </w:rPr>
      </w:pPr>
      <w:r w:rsidRPr="00AD12A2">
        <w:rPr>
          <w:rFonts w:eastAsia="Times New Roman" w:cstheme="minorHAnsi"/>
          <w:sz w:val="24"/>
          <w:szCs w:val="24"/>
          <w:lang w:eastAsia="en-CA"/>
        </w:rPr>
        <w:t>Commit to:</w:t>
      </w:r>
    </w:p>
    <w:p w14:paraId="16E94933" w14:textId="77777777" w:rsidR="00AD12A2" w:rsidRPr="00AD12A2" w:rsidRDefault="00AD12A2" w:rsidP="00AD12A2">
      <w:pPr>
        <w:numPr>
          <w:ilvl w:val="1"/>
          <w:numId w:val="5"/>
        </w:numPr>
        <w:spacing w:before="100" w:beforeAutospacing="1" w:after="100" w:afterAutospacing="1" w:line="259" w:lineRule="auto"/>
        <w:rPr>
          <w:rFonts w:eastAsia="Times New Roman" w:cstheme="minorHAnsi"/>
          <w:sz w:val="24"/>
          <w:szCs w:val="24"/>
          <w:lang w:eastAsia="en-CA"/>
        </w:rPr>
      </w:pPr>
      <w:r w:rsidRPr="00AD12A2">
        <w:rPr>
          <w:rFonts w:eastAsia="Times New Roman" w:cstheme="minorHAnsi"/>
          <w:sz w:val="24"/>
          <w:szCs w:val="24"/>
          <w:lang w:eastAsia="en-CA"/>
        </w:rPr>
        <w:t>Using the Health Data Coalition (HDC) to support reflective practice (if available with EMR)</w:t>
      </w:r>
    </w:p>
    <w:p w14:paraId="0EA9F01D" w14:textId="77777777" w:rsidR="00AD12A2" w:rsidRPr="00AD12A2" w:rsidRDefault="00AD12A2" w:rsidP="00AD12A2">
      <w:pPr>
        <w:numPr>
          <w:ilvl w:val="1"/>
          <w:numId w:val="5"/>
        </w:numPr>
        <w:spacing w:before="100" w:beforeAutospacing="1" w:after="100" w:afterAutospacing="1" w:line="259" w:lineRule="auto"/>
        <w:rPr>
          <w:rFonts w:eastAsia="Times New Roman" w:cstheme="minorHAnsi"/>
          <w:sz w:val="24"/>
          <w:szCs w:val="24"/>
          <w:lang w:eastAsia="en-CA"/>
        </w:rPr>
      </w:pPr>
      <w:r w:rsidRPr="00AD12A2">
        <w:rPr>
          <w:rFonts w:eastAsia="Times New Roman" w:cstheme="minorHAnsi"/>
          <w:sz w:val="24"/>
          <w:szCs w:val="24"/>
          <w:lang w:eastAsia="en-CA"/>
        </w:rPr>
        <w:t>Ensuring all team members complete team-based care training that is culturally safe, trauma informed, and support them in doing so</w:t>
      </w:r>
    </w:p>
    <w:p w14:paraId="286D400F" w14:textId="77777777" w:rsidR="00AD12A2" w:rsidRPr="00AD12A2" w:rsidRDefault="00AD12A2" w:rsidP="00AD12A2">
      <w:pPr>
        <w:numPr>
          <w:ilvl w:val="1"/>
          <w:numId w:val="5"/>
        </w:numPr>
        <w:spacing w:before="100" w:beforeAutospacing="1" w:after="100" w:afterAutospacing="1" w:line="259" w:lineRule="auto"/>
        <w:rPr>
          <w:rFonts w:eastAsia="Times New Roman" w:cstheme="minorHAnsi"/>
          <w:sz w:val="24"/>
          <w:szCs w:val="24"/>
          <w:lang w:eastAsia="en-CA"/>
        </w:rPr>
      </w:pPr>
      <w:r w:rsidRPr="00AD12A2">
        <w:rPr>
          <w:rFonts w:eastAsia="Times New Roman" w:cstheme="minorHAnsi"/>
          <w:sz w:val="24"/>
          <w:szCs w:val="24"/>
          <w:lang w:eastAsia="en-CA"/>
        </w:rPr>
        <w:lastRenderedPageBreak/>
        <w:t>Sharing data and metrics for quality improvement and evaluation</w:t>
      </w:r>
    </w:p>
    <w:p w14:paraId="023F49C8" w14:textId="77777777" w:rsidR="00AD12A2" w:rsidRPr="00AD12A2" w:rsidRDefault="00AD12A2" w:rsidP="00AD12A2">
      <w:pPr>
        <w:numPr>
          <w:ilvl w:val="1"/>
          <w:numId w:val="5"/>
        </w:numPr>
        <w:spacing w:before="100" w:beforeAutospacing="1" w:after="100" w:afterAutospacing="1" w:line="259" w:lineRule="auto"/>
        <w:rPr>
          <w:rFonts w:eastAsia="Times New Roman" w:cstheme="minorHAnsi"/>
          <w:sz w:val="24"/>
          <w:szCs w:val="24"/>
          <w:lang w:eastAsia="en-CA"/>
        </w:rPr>
      </w:pPr>
      <w:r w:rsidRPr="00AD12A2">
        <w:rPr>
          <w:rFonts w:eastAsia="Times New Roman" w:cstheme="minorHAnsi"/>
          <w:sz w:val="24"/>
          <w:szCs w:val="24"/>
          <w:lang w:eastAsia="en-CA"/>
        </w:rPr>
        <w:t>Working with other clinics/teams to coordinate “flow” of shared team members and share learnings</w:t>
      </w:r>
    </w:p>
    <w:p w14:paraId="50FE3853" w14:textId="77777777" w:rsidR="00AD12A2" w:rsidRPr="00AD12A2" w:rsidRDefault="00AD12A2" w:rsidP="00AD12A2">
      <w:pPr>
        <w:numPr>
          <w:ilvl w:val="0"/>
          <w:numId w:val="5"/>
        </w:numPr>
        <w:spacing w:before="100" w:beforeAutospacing="1" w:after="100" w:afterAutospacing="1" w:line="259" w:lineRule="auto"/>
        <w:rPr>
          <w:rFonts w:eastAsia="Times New Roman" w:cstheme="minorHAnsi"/>
          <w:sz w:val="24"/>
          <w:szCs w:val="24"/>
          <w:lang w:eastAsia="en-CA"/>
        </w:rPr>
      </w:pPr>
      <w:r w:rsidRPr="00AD12A2">
        <w:rPr>
          <w:rFonts w:eastAsia="Times New Roman" w:cstheme="minorHAnsi"/>
          <w:sz w:val="24"/>
          <w:szCs w:val="24"/>
          <w:lang w:eastAsia="en-CA"/>
        </w:rPr>
        <w:t>Make a minimum 12-month commitment to the PCN Initiative. The commitment requires 3 months’ written notice of the clinic’s intent to terminate its PCN involvement</w:t>
      </w:r>
    </w:p>
    <w:p w14:paraId="44750713" w14:textId="77777777" w:rsidR="00AD12A2" w:rsidRPr="00AD12A2" w:rsidRDefault="00AD12A2" w:rsidP="00AD12A2">
      <w:pPr>
        <w:numPr>
          <w:ilvl w:val="0"/>
          <w:numId w:val="5"/>
        </w:numPr>
        <w:spacing w:before="100" w:beforeAutospacing="1" w:after="100" w:afterAutospacing="1" w:line="259" w:lineRule="auto"/>
        <w:rPr>
          <w:rFonts w:eastAsia="Times New Roman" w:cstheme="minorHAnsi"/>
          <w:sz w:val="24"/>
          <w:szCs w:val="24"/>
          <w:lang w:eastAsia="en-CA"/>
        </w:rPr>
      </w:pPr>
      <w:r w:rsidRPr="00AD12A2">
        <w:rPr>
          <w:rFonts w:eastAsia="Times New Roman" w:cstheme="minorHAnsi"/>
          <w:sz w:val="24"/>
          <w:szCs w:val="24"/>
          <w:lang w:eastAsia="en-CA"/>
        </w:rPr>
        <w:t>Member must demonstrate active implementation of the attributes of the Patient Medical Home (see attachment) </w:t>
      </w:r>
    </w:p>
    <w:p w14:paraId="589D4D07" w14:textId="77777777" w:rsidR="00AD12A2" w:rsidRPr="00AD12A2" w:rsidRDefault="00AD12A2" w:rsidP="00AD12A2">
      <w:pPr>
        <w:numPr>
          <w:ilvl w:val="0"/>
          <w:numId w:val="5"/>
        </w:numPr>
        <w:spacing w:before="100" w:beforeAutospacing="1" w:after="100" w:afterAutospacing="1" w:line="259" w:lineRule="auto"/>
        <w:rPr>
          <w:rFonts w:eastAsia="Times New Roman" w:cstheme="minorHAnsi"/>
          <w:sz w:val="24"/>
          <w:szCs w:val="24"/>
          <w:lang w:eastAsia="en-CA"/>
        </w:rPr>
      </w:pPr>
      <w:r w:rsidRPr="00AD12A2">
        <w:rPr>
          <w:rFonts w:eastAsia="Times New Roman" w:cstheme="minorHAnsi"/>
          <w:sz w:val="24"/>
          <w:szCs w:val="24"/>
          <w:lang w:eastAsia="en-CA"/>
        </w:rPr>
        <w:t>Full service family practice offering longitudinal care</w:t>
      </w:r>
    </w:p>
    <w:p w14:paraId="26BDAEC0" w14:textId="20029205" w:rsidR="00AD12A2" w:rsidRPr="00EC0494" w:rsidRDefault="00AD12A2" w:rsidP="00925031">
      <w:pPr>
        <w:numPr>
          <w:ilvl w:val="0"/>
          <w:numId w:val="5"/>
        </w:numPr>
        <w:spacing w:before="100" w:beforeAutospacing="1" w:after="100" w:afterAutospacing="1" w:line="259" w:lineRule="auto"/>
        <w:rPr>
          <w:rFonts w:eastAsia="Times New Roman" w:cstheme="minorHAnsi"/>
          <w:sz w:val="24"/>
          <w:szCs w:val="24"/>
          <w:lang w:eastAsia="en-CA"/>
        </w:rPr>
      </w:pPr>
      <w:r w:rsidRPr="00EC0494">
        <w:rPr>
          <w:rFonts w:eastAsia="Times New Roman" w:cstheme="minorHAnsi"/>
          <w:sz w:val="24"/>
          <w:szCs w:val="24"/>
          <w:lang w:eastAsia="en-CA"/>
        </w:rPr>
        <w:t>EM</w:t>
      </w:r>
      <w:r w:rsidR="00EC0494">
        <w:rPr>
          <w:rFonts w:eastAsia="Times New Roman" w:cstheme="minorHAnsi"/>
          <w:sz w:val="24"/>
          <w:szCs w:val="24"/>
          <w:lang w:eastAsia="en-CA"/>
        </w:rPr>
        <w:t>R</w:t>
      </w:r>
    </w:p>
    <w:p w14:paraId="6B76C816" w14:textId="608E368B" w:rsidR="00AD12A2" w:rsidRPr="00AD12A2" w:rsidRDefault="00AD12A2" w:rsidP="00AD12A2">
      <w:pPr>
        <w:rPr>
          <w:rFonts w:eastAsia="Times New Roman" w:cstheme="minorHAnsi"/>
          <w:sz w:val="24"/>
          <w:szCs w:val="24"/>
          <w:lang w:eastAsia="en-CA"/>
        </w:rPr>
      </w:pPr>
      <w:r w:rsidRPr="00AD12A2">
        <w:rPr>
          <w:rFonts w:eastAsia="Times New Roman" w:cstheme="minorHAnsi"/>
          <w:sz w:val="24"/>
          <w:szCs w:val="24"/>
          <w:lang w:eastAsia="en-CA"/>
        </w:rPr>
        <w:t> It is also highly preferable that clinics seeking to join the Oceanside PCN have first been assessed in terms of PMH capability, which significantly enables integration within a PCN.</w:t>
      </w:r>
    </w:p>
    <w:p w14:paraId="46E6F6D1" w14:textId="7FF5C7B2" w:rsidR="00AD12A2" w:rsidRDefault="00AD12A2" w:rsidP="00AD12A2">
      <w:pPr>
        <w:spacing w:after="160" w:line="259" w:lineRule="auto"/>
      </w:pPr>
    </w:p>
    <w:p w14:paraId="40B35504" w14:textId="77777777" w:rsidR="00EC0494" w:rsidRDefault="00EC0494" w:rsidP="001C069F">
      <w:pPr>
        <w:pStyle w:val="Heading1"/>
      </w:pPr>
      <w:r w:rsidRPr="001C069F">
        <w:t>Membership</w:t>
      </w:r>
      <w:r>
        <w:t xml:space="preserve"> </w:t>
      </w:r>
    </w:p>
    <w:p w14:paraId="3AD15B1C" w14:textId="77777777" w:rsidR="00EC0494" w:rsidRPr="00EC0494" w:rsidRDefault="00EC0494" w:rsidP="001C069F">
      <w:pPr>
        <w:pStyle w:val="Heading3"/>
      </w:pPr>
      <w:r w:rsidRPr="00EC0494">
        <w:t>Vision</w:t>
      </w:r>
    </w:p>
    <w:p w14:paraId="0CA12727" w14:textId="66F808EB" w:rsidR="00EC0494" w:rsidRDefault="00EC0494" w:rsidP="00EC0494">
      <w:r>
        <w:t>A Primary Care Network (PCN) is a clinical network of local primary care service providers located in a geographical area, with patient medical homes (PMHs) as the foundational units comprising the PCN. In a PCN, primary care providers work collaboratively with allied health care providers, health authority and Indigenous service providers, and community organizations to collaboratively coordinate and provide a comprehensive suite of primary care services in response to the specific needs of the local population. Participation in a PCN enables a patient medical home to operate at its full potential, ensuring all care givers can work to their scope of practice to improve both caregiver and patient satisfaction; ‘</w:t>
      </w:r>
      <w:r>
        <w:rPr>
          <w:i/>
        </w:rPr>
        <w:t>right person, right role</w:t>
      </w:r>
      <w:r>
        <w:t>’.</w:t>
      </w:r>
    </w:p>
    <w:p w14:paraId="547B2019" w14:textId="77777777" w:rsidR="001C069F" w:rsidRDefault="001C069F" w:rsidP="00EC0494"/>
    <w:p w14:paraId="1D67BED0" w14:textId="77777777" w:rsidR="00EC0494" w:rsidRDefault="00EC0494" w:rsidP="00EC0494">
      <w:r>
        <w:t>Through a PCN, patients get access to timely, comprehensive and coordinated team-based care guided by eight core attributes:</w:t>
      </w:r>
    </w:p>
    <w:p w14:paraId="300FFB85" w14:textId="77777777" w:rsidR="00EC0494" w:rsidRDefault="00EC0494" w:rsidP="00EC0494">
      <w:pPr>
        <w:numPr>
          <w:ilvl w:val="0"/>
          <w:numId w:val="6"/>
        </w:numPr>
        <w:spacing w:line="276" w:lineRule="auto"/>
      </w:pPr>
      <w:r>
        <w:rPr>
          <w:rFonts w:ascii="Cambria" w:hAnsi="Cambria"/>
          <w:color w:val="000000"/>
        </w:rPr>
        <w:t>Access and attachment to quality primary care                   </w:t>
      </w:r>
    </w:p>
    <w:p w14:paraId="7030DB81" w14:textId="77777777" w:rsidR="00EC0494" w:rsidRDefault="00EC0494" w:rsidP="00EC0494">
      <w:pPr>
        <w:numPr>
          <w:ilvl w:val="0"/>
          <w:numId w:val="6"/>
        </w:numPr>
        <w:spacing w:line="276" w:lineRule="auto"/>
      </w:pPr>
      <w:r>
        <w:rPr>
          <w:rFonts w:ascii="Cambria" w:hAnsi="Cambria"/>
          <w:color w:val="000000"/>
        </w:rPr>
        <w:t>Extended hours</w:t>
      </w:r>
    </w:p>
    <w:p w14:paraId="1D61DAED" w14:textId="77777777" w:rsidR="00EC0494" w:rsidRDefault="00EC0494" w:rsidP="00EC0494">
      <w:pPr>
        <w:numPr>
          <w:ilvl w:val="0"/>
          <w:numId w:val="6"/>
        </w:numPr>
        <w:spacing w:line="276" w:lineRule="auto"/>
      </w:pPr>
      <w:r>
        <w:rPr>
          <w:rFonts w:ascii="Cambria" w:hAnsi="Cambria"/>
          <w:color w:val="000000"/>
        </w:rPr>
        <w:t>Same-day access for urgent appointments                                                 </w:t>
      </w:r>
    </w:p>
    <w:p w14:paraId="4E1881B3" w14:textId="77777777" w:rsidR="00EC0494" w:rsidRDefault="00EC0494" w:rsidP="00EC0494">
      <w:pPr>
        <w:numPr>
          <w:ilvl w:val="0"/>
          <w:numId w:val="6"/>
        </w:numPr>
        <w:spacing w:line="276" w:lineRule="auto"/>
      </w:pPr>
      <w:r>
        <w:rPr>
          <w:rFonts w:ascii="Cambria" w:hAnsi="Cambria"/>
          <w:color w:val="000000"/>
        </w:rPr>
        <w:t>Advice and information</w:t>
      </w:r>
    </w:p>
    <w:p w14:paraId="1D34946F" w14:textId="77777777" w:rsidR="00EC0494" w:rsidRDefault="00EC0494" w:rsidP="00EC0494">
      <w:pPr>
        <w:numPr>
          <w:ilvl w:val="0"/>
          <w:numId w:val="6"/>
        </w:numPr>
        <w:spacing w:line="276" w:lineRule="auto"/>
      </w:pPr>
      <w:r>
        <w:rPr>
          <w:rFonts w:ascii="Cambria" w:hAnsi="Cambria"/>
          <w:color w:val="000000"/>
        </w:rPr>
        <w:t>Comprehensive primary care                                                      </w:t>
      </w:r>
    </w:p>
    <w:p w14:paraId="052F2917" w14:textId="77777777" w:rsidR="00EC0494" w:rsidRDefault="00EC0494" w:rsidP="00EC0494">
      <w:pPr>
        <w:numPr>
          <w:ilvl w:val="0"/>
          <w:numId w:val="6"/>
        </w:numPr>
        <w:spacing w:line="276" w:lineRule="auto"/>
      </w:pPr>
      <w:r>
        <w:rPr>
          <w:rFonts w:ascii="Cambria" w:hAnsi="Cambria"/>
          <w:color w:val="000000"/>
        </w:rPr>
        <w:t>Culturally safe care </w:t>
      </w:r>
    </w:p>
    <w:p w14:paraId="7D4804C2" w14:textId="77777777" w:rsidR="00EC0494" w:rsidRDefault="00EC0494" w:rsidP="00EC0494">
      <w:pPr>
        <w:numPr>
          <w:ilvl w:val="0"/>
          <w:numId w:val="6"/>
        </w:numPr>
        <w:spacing w:line="276" w:lineRule="auto"/>
      </w:pPr>
      <w:r>
        <w:rPr>
          <w:rFonts w:ascii="Cambria" w:hAnsi="Cambria"/>
          <w:color w:val="000000"/>
        </w:rPr>
        <w:t>Coordinated care                                                                            </w:t>
      </w:r>
    </w:p>
    <w:p w14:paraId="4EEB8987" w14:textId="128B3B2C" w:rsidR="00EC0494" w:rsidRPr="001C069F" w:rsidRDefault="00EC0494" w:rsidP="00EC0494">
      <w:pPr>
        <w:numPr>
          <w:ilvl w:val="0"/>
          <w:numId w:val="6"/>
        </w:numPr>
        <w:spacing w:line="276" w:lineRule="auto"/>
      </w:pPr>
      <w:r>
        <w:rPr>
          <w:rFonts w:ascii="Cambria" w:hAnsi="Cambria"/>
          <w:color w:val="000000"/>
        </w:rPr>
        <w:t> Clear communication</w:t>
      </w:r>
    </w:p>
    <w:p w14:paraId="0269C388" w14:textId="77777777" w:rsidR="001C069F" w:rsidRDefault="001C069F" w:rsidP="001C069F">
      <w:pPr>
        <w:spacing w:line="276" w:lineRule="auto"/>
        <w:ind w:left="960"/>
      </w:pPr>
    </w:p>
    <w:p w14:paraId="3D07CE0B" w14:textId="2E7EE2E4" w:rsidR="00EC0494" w:rsidRDefault="00EC0494" w:rsidP="00EC0494">
      <w:r>
        <w:t>The PCN is a partnership between the Island Health Authority, First Nations Health Authority and the  Division of Family Practice. Decision-making flows from  Working Groups through the PCN Steering Committee.</w:t>
      </w:r>
    </w:p>
    <w:p w14:paraId="54D31E4B" w14:textId="77777777" w:rsidR="001C069F" w:rsidRDefault="001C069F" w:rsidP="00EC0494"/>
    <w:p w14:paraId="77031E97" w14:textId="4091016B" w:rsidR="00EC0494" w:rsidRDefault="00EC0494" w:rsidP="00EC0494">
      <w:pPr>
        <w:ind w:left="120"/>
      </w:pPr>
    </w:p>
    <w:p w14:paraId="4DB98D0D" w14:textId="77777777" w:rsidR="00EC0494" w:rsidRPr="001C069F" w:rsidRDefault="00EC0494" w:rsidP="001C069F">
      <w:pPr>
        <w:pStyle w:val="Heading3"/>
      </w:pPr>
      <w:r w:rsidRPr="001C069F">
        <w:t>Membership</w:t>
      </w:r>
    </w:p>
    <w:p w14:paraId="626511D9" w14:textId="77777777" w:rsidR="00EC0494" w:rsidRDefault="00EC0494" w:rsidP="001C069F">
      <w:r>
        <w:t>When joining the PCN, members can decide which level of participation they prefer. Each level of membership comes with different benefits and expectations for members.</w:t>
      </w: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5506"/>
        <w:gridCol w:w="1236"/>
        <w:gridCol w:w="1236"/>
        <w:gridCol w:w="1247"/>
      </w:tblGrid>
      <w:tr w:rsidR="00EC0494" w14:paraId="5E5AB7F9" w14:textId="77777777" w:rsidTr="00FF600B">
        <w:trPr>
          <w:trHeight w:val="450"/>
          <w:tblCellSpacing w:w="0" w:type="dxa"/>
        </w:trPr>
        <w:tc>
          <w:tcPr>
            <w:tcW w:w="10020" w:type="dxa"/>
            <w:tcMar>
              <w:top w:w="75" w:type="dxa"/>
              <w:left w:w="120" w:type="dxa"/>
              <w:bottom w:w="75" w:type="dxa"/>
              <w:right w:w="120" w:type="dxa"/>
            </w:tcMar>
          </w:tcPr>
          <w:p w14:paraId="5A6AA1C6" w14:textId="77777777" w:rsidR="00EC0494" w:rsidRDefault="00EC0494" w:rsidP="00FF600B">
            <w:pPr>
              <w:ind w:left="240"/>
            </w:pPr>
            <w:r>
              <w:rPr>
                <w:rFonts w:ascii="Cambria" w:hAnsi="Cambria"/>
                <w:b/>
                <w:color w:val="000000"/>
              </w:rPr>
              <w:lastRenderedPageBreak/>
              <w:t> </w:t>
            </w:r>
          </w:p>
        </w:tc>
        <w:tc>
          <w:tcPr>
            <w:tcW w:w="1340" w:type="dxa"/>
            <w:tcBorders>
              <w:left w:val="single" w:sz="8" w:space="0" w:color="C1C7CD"/>
            </w:tcBorders>
            <w:tcMar>
              <w:top w:w="75" w:type="dxa"/>
              <w:left w:w="120" w:type="dxa"/>
              <w:bottom w:w="75" w:type="dxa"/>
              <w:right w:w="120" w:type="dxa"/>
            </w:tcMar>
          </w:tcPr>
          <w:p w14:paraId="47CD1101" w14:textId="77777777" w:rsidR="00EC0494" w:rsidRDefault="00EC0494" w:rsidP="00FF600B">
            <w:pPr>
              <w:ind w:left="240"/>
            </w:pPr>
            <w:r>
              <w:rPr>
                <w:rFonts w:ascii="Cambria" w:hAnsi="Cambria"/>
                <w:b/>
                <w:color w:val="000000"/>
              </w:rPr>
              <w:t>Tier 1</w:t>
            </w:r>
          </w:p>
        </w:tc>
        <w:tc>
          <w:tcPr>
            <w:tcW w:w="1340" w:type="dxa"/>
            <w:tcBorders>
              <w:left w:val="single" w:sz="8" w:space="0" w:color="C1C7CD"/>
            </w:tcBorders>
            <w:tcMar>
              <w:top w:w="75" w:type="dxa"/>
              <w:left w:w="120" w:type="dxa"/>
              <w:bottom w:w="75" w:type="dxa"/>
              <w:right w:w="120" w:type="dxa"/>
            </w:tcMar>
          </w:tcPr>
          <w:p w14:paraId="211238AB" w14:textId="77777777" w:rsidR="00EC0494" w:rsidRDefault="00EC0494" w:rsidP="00FF600B">
            <w:pPr>
              <w:ind w:left="240"/>
            </w:pPr>
            <w:r>
              <w:rPr>
                <w:rFonts w:ascii="Cambria" w:hAnsi="Cambria"/>
                <w:b/>
                <w:color w:val="000000"/>
              </w:rPr>
              <w:t>Tier 2</w:t>
            </w:r>
          </w:p>
        </w:tc>
        <w:tc>
          <w:tcPr>
            <w:tcW w:w="1340" w:type="dxa"/>
            <w:tcBorders>
              <w:left w:val="single" w:sz="8" w:space="0" w:color="C1C7CD"/>
            </w:tcBorders>
            <w:tcMar>
              <w:top w:w="75" w:type="dxa"/>
              <w:left w:w="120" w:type="dxa"/>
              <w:bottom w:w="75" w:type="dxa"/>
              <w:right w:w="120" w:type="dxa"/>
            </w:tcMar>
          </w:tcPr>
          <w:p w14:paraId="5314C1C6" w14:textId="77777777" w:rsidR="00EC0494" w:rsidRDefault="00EC0494" w:rsidP="00FF600B">
            <w:pPr>
              <w:ind w:left="240"/>
            </w:pPr>
            <w:r>
              <w:rPr>
                <w:rFonts w:ascii="Cambria" w:hAnsi="Cambria"/>
                <w:b/>
                <w:color w:val="000000"/>
              </w:rPr>
              <w:t>Tier 3</w:t>
            </w:r>
          </w:p>
        </w:tc>
      </w:tr>
      <w:tr w:rsidR="00EC0494" w14:paraId="76BF47E7" w14:textId="77777777" w:rsidTr="00FF600B">
        <w:trPr>
          <w:trHeight w:val="465"/>
          <w:tblCellSpacing w:w="0" w:type="dxa"/>
        </w:trPr>
        <w:tc>
          <w:tcPr>
            <w:tcW w:w="10020" w:type="dxa"/>
            <w:tcBorders>
              <w:top w:val="single" w:sz="8" w:space="0" w:color="C1C7CD"/>
            </w:tcBorders>
            <w:tcMar>
              <w:top w:w="75" w:type="dxa"/>
              <w:left w:w="120" w:type="dxa"/>
              <w:bottom w:w="75" w:type="dxa"/>
              <w:right w:w="120" w:type="dxa"/>
            </w:tcMar>
          </w:tcPr>
          <w:p w14:paraId="5950ACA3" w14:textId="77777777" w:rsidR="00EC0494" w:rsidRDefault="00EC0494" w:rsidP="00FF600B">
            <w:pPr>
              <w:ind w:left="240"/>
            </w:pPr>
            <w:r>
              <w:rPr>
                <w:rFonts w:ascii="Cambria" w:hAnsi="Cambria"/>
                <w:color w:val="000000"/>
              </w:rPr>
              <w:t>Stay informed about PCN news and get connected to other members</w:t>
            </w:r>
          </w:p>
        </w:tc>
        <w:tc>
          <w:tcPr>
            <w:tcW w:w="1340" w:type="dxa"/>
            <w:tcBorders>
              <w:top w:val="single" w:sz="8" w:space="0" w:color="C1C7CD"/>
              <w:left w:val="single" w:sz="8" w:space="0" w:color="C1C7CD"/>
            </w:tcBorders>
            <w:tcMar>
              <w:top w:w="75" w:type="dxa"/>
              <w:left w:w="120" w:type="dxa"/>
              <w:bottom w:w="75" w:type="dxa"/>
              <w:right w:w="120" w:type="dxa"/>
            </w:tcMar>
          </w:tcPr>
          <w:p w14:paraId="06FBD99C" w14:textId="77777777" w:rsidR="00EC0494" w:rsidRDefault="00EC0494" w:rsidP="00EC0494">
            <w:pPr>
              <w:numPr>
                <w:ilvl w:val="0"/>
                <w:numId w:val="7"/>
              </w:numPr>
              <w:spacing w:line="276" w:lineRule="auto"/>
              <w:ind w:left="845"/>
            </w:pPr>
            <w:r>
              <w:rPr>
                <w:rFonts w:ascii="Cambria" w:hAnsi="Cambria"/>
                <w:color w:val="000000"/>
              </w:rPr>
              <w:t> </w:t>
            </w:r>
          </w:p>
        </w:tc>
        <w:tc>
          <w:tcPr>
            <w:tcW w:w="1340" w:type="dxa"/>
            <w:tcBorders>
              <w:top w:val="single" w:sz="8" w:space="0" w:color="C1C7CD"/>
              <w:left w:val="single" w:sz="8" w:space="0" w:color="C1C7CD"/>
            </w:tcBorders>
            <w:tcMar>
              <w:top w:w="75" w:type="dxa"/>
              <w:left w:w="120" w:type="dxa"/>
              <w:bottom w:w="75" w:type="dxa"/>
              <w:right w:w="120" w:type="dxa"/>
            </w:tcMar>
          </w:tcPr>
          <w:p w14:paraId="06D7FAD6" w14:textId="77777777" w:rsidR="00EC0494" w:rsidRDefault="00EC0494" w:rsidP="00EC0494">
            <w:pPr>
              <w:numPr>
                <w:ilvl w:val="0"/>
                <w:numId w:val="8"/>
              </w:numPr>
              <w:spacing w:line="276" w:lineRule="auto"/>
              <w:ind w:left="845"/>
            </w:pPr>
            <w:r>
              <w:rPr>
                <w:rFonts w:ascii="Cambria" w:hAnsi="Cambria"/>
                <w:color w:val="000000"/>
              </w:rPr>
              <w:t> </w:t>
            </w:r>
          </w:p>
        </w:tc>
        <w:tc>
          <w:tcPr>
            <w:tcW w:w="1340" w:type="dxa"/>
            <w:tcBorders>
              <w:top w:val="single" w:sz="8" w:space="0" w:color="C1C7CD"/>
              <w:left w:val="single" w:sz="8" w:space="0" w:color="C1C7CD"/>
            </w:tcBorders>
            <w:tcMar>
              <w:top w:w="75" w:type="dxa"/>
              <w:left w:w="120" w:type="dxa"/>
              <w:bottom w:w="75" w:type="dxa"/>
              <w:right w:w="120" w:type="dxa"/>
            </w:tcMar>
          </w:tcPr>
          <w:p w14:paraId="26BE89F5" w14:textId="77777777" w:rsidR="00EC0494" w:rsidRDefault="00EC0494" w:rsidP="00EC0494">
            <w:pPr>
              <w:numPr>
                <w:ilvl w:val="0"/>
                <w:numId w:val="9"/>
              </w:numPr>
              <w:spacing w:line="276" w:lineRule="auto"/>
              <w:ind w:left="845"/>
            </w:pPr>
            <w:r>
              <w:rPr>
                <w:rFonts w:ascii="Cambria" w:hAnsi="Cambria"/>
                <w:color w:val="000000"/>
              </w:rPr>
              <w:t> </w:t>
            </w:r>
          </w:p>
        </w:tc>
      </w:tr>
      <w:tr w:rsidR="00EC0494" w14:paraId="6612311D" w14:textId="77777777" w:rsidTr="00FF600B">
        <w:trPr>
          <w:trHeight w:val="465"/>
          <w:tblCellSpacing w:w="0" w:type="dxa"/>
        </w:trPr>
        <w:tc>
          <w:tcPr>
            <w:tcW w:w="10020" w:type="dxa"/>
            <w:tcBorders>
              <w:top w:val="single" w:sz="8" w:space="0" w:color="C1C7CD"/>
            </w:tcBorders>
            <w:tcMar>
              <w:top w:w="75" w:type="dxa"/>
              <w:left w:w="120" w:type="dxa"/>
              <w:bottom w:w="75" w:type="dxa"/>
              <w:right w:w="120" w:type="dxa"/>
            </w:tcMar>
          </w:tcPr>
          <w:p w14:paraId="23366933" w14:textId="77777777" w:rsidR="00EC0494" w:rsidRDefault="00EC0494" w:rsidP="00FF600B">
            <w:pPr>
              <w:ind w:left="240"/>
            </w:pPr>
            <w:r>
              <w:rPr>
                <w:rFonts w:ascii="Cambria" w:hAnsi="Cambria"/>
                <w:color w:val="000000"/>
              </w:rPr>
              <w:t>Consult with or refer to allied health resources located anywhere in your PCN neighbourhood</w:t>
            </w:r>
          </w:p>
        </w:tc>
        <w:tc>
          <w:tcPr>
            <w:tcW w:w="1340" w:type="dxa"/>
            <w:tcBorders>
              <w:top w:val="single" w:sz="8" w:space="0" w:color="C1C7CD"/>
              <w:left w:val="single" w:sz="8" w:space="0" w:color="C1C7CD"/>
            </w:tcBorders>
            <w:tcMar>
              <w:top w:w="75" w:type="dxa"/>
              <w:left w:w="120" w:type="dxa"/>
              <w:bottom w:w="75" w:type="dxa"/>
              <w:right w:w="120" w:type="dxa"/>
            </w:tcMar>
          </w:tcPr>
          <w:p w14:paraId="796E7BCD" w14:textId="77777777" w:rsidR="00EC0494" w:rsidRDefault="00EC0494" w:rsidP="00FF600B">
            <w:pPr>
              <w:ind w:left="240"/>
            </w:pPr>
            <w:r>
              <w:rPr>
                <w:rFonts w:ascii="Cambria" w:hAnsi="Cambria"/>
                <w:color w:val="000000"/>
              </w:rPr>
              <w:t> </w:t>
            </w:r>
          </w:p>
        </w:tc>
        <w:tc>
          <w:tcPr>
            <w:tcW w:w="1340" w:type="dxa"/>
            <w:tcBorders>
              <w:top w:val="single" w:sz="8" w:space="0" w:color="C1C7CD"/>
              <w:left w:val="single" w:sz="8" w:space="0" w:color="C1C7CD"/>
            </w:tcBorders>
            <w:tcMar>
              <w:top w:w="75" w:type="dxa"/>
              <w:left w:w="120" w:type="dxa"/>
              <w:bottom w:w="75" w:type="dxa"/>
              <w:right w:w="120" w:type="dxa"/>
            </w:tcMar>
          </w:tcPr>
          <w:p w14:paraId="1E90631B" w14:textId="77777777" w:rsidR="00EC0494" w:rsidRDefault="00EC0494" w:rsidP="00EC0494">
            <w:pPr>
              <w:numPr>
                <w:ilvl w:val="0"/>
                <w:numId w:val="10"/>
              </w:numPr>
              <w:spacing w:line="276" w:lineRule="auto"/>
              <w:ind w:left="845"/>
            </w:pPr>
            <w:r>
              <w:rPr>
                <w:rFonts w:ascii="Cambria" w:hAnsi="Cambria"/>
                <w:color w:val="000000"/>
              </w:rPr>
              <w:t> </w:t>
            </w:r>
          </w:p>
        </w:tc>
        <w:tc>
          <w:tcPr>
            <w:tcW w:w="1340" w:type="dxa"/>
            <w:tcBorders>
              <w:top w:val="single" w:sz="8" w:space="0" w:color="C1C7CD"/>
              <w:left w:val="single" w:sz="8" w:space="0" w:color="C1C7CD"/>
            </w:tcBorders>
            <w:tcMar>
              <w:top w:w="75" w:type="dxa"/>
              <w:left w:w="120" w:type="dxa"/>
              <w:bottom w:w="75" w:type="dxa"/>
              <w:right w:w="120" w:type="dxa"/>
            </w:tcMar>
          </w:tcPr>
          <w:p w14:paraId="2436D18F" w14:textId="77777777" w:rsidR="00EC0494" w:rsidRDefault="00EC0494" w:rsidP="00EC0494">
            <w:pPr>
              <w:numPr>
                <w:ilvl w:val="0"/>
                <w:numId w:val="11"/>
              </w:numPr>
              <w:spacing w:line="276" w:lineRule="auto"/>
              <w:ind w:left="845"/>
            </w:pPr>
            <w:r>
              <w:rPr>
                <w:rFonts w:ascii="Cambria" w:hAnsi="Cambria"/>
                <w:color w:val="000000"/>
              </w:rPr>
              <w:t> </w:t>
            </w:r>
          </w:p>
        </w:tc>
      </w:tr>
      <w:tr w:rsidR="00EC0494" w14:paraId="0AB45D9A" w14:textId="77777777" w:rsidTr="00FF600B">
        <w:trPr>
          <w:trHeight w:val="465"/>
          <w:tblCellSpacing w:w="0" w:type="dxa"/>
        </w:trPr>
        <w:tc>
          <w:tcPr>
            <w:tcW w:w="10020" w:type="dxa"/>
            <w:tcBorders>
              <w:top w:val="single" w:sz="8" w:space="0" w:color="C1C7CD"/>
            </w:tcBorders>
            <w:tcMar>
              <w:top w:w="75" w:type="dxa"/>
              <w:left w:w="120" w:type="dxa"/>
              <w:bottom w:w="75" w:type="dxa"/>
              <w:right w:w="120" w:type="dxa"/>
            </w:tcMar>
          </w:tcPr>
          <w:p w14:paraId="62F32164" w14:textId="77777777" w:rsidR="00EC0494" w:rsidRDefault="00EC0494" w:rsidP="00FF600B">
            <w:pPr>
              <w:ind w:left="240"/>
            </w:pPr>
            <w:r>
              <w:rPr>
                <w:rFonts w:ascii="Cambria" w:hAnsi="Cambria"/>
                <w:color w:val="000000"/>
              </w:rPr>
              <w:t xml:space="preserve">Physically accommodate new PCN allied health </w:t>
            </w:r>
            <w:r>
              <w:rPr>
                <w:rFonts w:ascii="Cambria" w:hAnsi="Cambria"/>
                <w:i/>
                <w:color w:val="000000"/>
              </w:rPr>
              <w:t>(shared with other PCN members)</w:t>
            </w:r>
            <w:r>
              <w:rPr>
                <w:rFonts w:ascii="Cambria" w:hAnsi="Cambria"/>
                <w:color w:val="000000"/>
              </w:rPr>
              <w:t xml:space="preserve"> or GP/NP resources within your clinic</w:t>
            </w:r>
          </w:p>
        </w:tc>
        <w:tc>
          <w:tcPr>
            <w:tcW w:w="1340" w:type="dxa"/>
            <w:tcBorders>
              <w:top w:val="single" w:sz="8" w:space="0" w:color="C1C7CD"/>
              <w:left w:val="single" w:sz="8" w:space="0" w:color="C1C7CD"/>
            </w:tcBorders>
            <w:tcMar>
              <w:top w:w="75" w:type="dxa"/>
              <w:left w:w="120" w:type="dxa"/>
              <w:bottom w:w="75" w:type="dxa"/>
              <w:right w:w="120" w:type="dxa"/>
            </w:tcMar>
          </w:tcPr>
          <w:p w14:paraId="2454DCD6" w14:textId="77777777" w:rsidR="00EC0494" w:rsidRDefault="00EC0494" w:rsidP="00FF600B">
            <w:pPr>
              <w:ind w:left="240"/>
            </w:pPr>
            <w:r>
              <w:rPr>
                <w:rFonts w:ascii="Cambria" w:hAnsi="Cambria"/>
                <w:color w:val="000000"/>
              </w:rPr>
              <w:t> </w:t>
            </w:r>
          </w:p>
        </w:tc>
        <w:tc>
          <w:tcPr>
            <w:tcW w:w="1340" w:type="dxa"/>
            <w:tcBorders>
              <w:top w:val="single" w:sz="8" w:space="0" w:color="C1C7CD"/>
              <w:left w:val="single" w:sz="8" w:space="0" w:color="C1C7CD"/>
            </w:tcBorders>
            <w:tcMar>
              <w:top w:w="75" w:type="dxa"/>
              <w:left w:w="120" w:type="dxa"/>
              <w:bottom w:w="75" w:type="dxa"/>
              <w:right w:w="120" w:type="dxa"/>
            </w:tcMar>
          </w:tcPr>
          <w:p w14:paraId="66A8B99C" w14:textId="77777777" w:rsidR="00EC0494" w:rsidRDefault="00EC0494" w:rsidP="00FF600B">
            <w:pPr>
              <w:ind w:left="240"/>
            </w:pPr>
            <w:r>
              <w:rPr>
                <w:rFonts w:ascii="Cambria" w:hAnsi="Cambria"/>
                <w:color w:val="000000"/>
              </w:rPr>
              <w:t> </w:t>
            </w:r>
          </w:p>
        </w:tc>
        <w:tc>
          <w:tcPr>
            <w:tcW w:w="1340" w:type="dxa"/>
            <w:tcBorders>
              <w:top w:val="single" w:sz="8" w:space="0" w:color="C1C7CD"/>
              <w:left w:val="single" w:sz="8" w:space="0" w:color="C1C7CD"/>
            </w:tcBorders>
            <w:tcMar>
              <w:top w:w="75" w:type="dxa"/>
              <w:left w:w="120" w:type="dxa"/>
              <w:bottom w:w="75" w:type="dxa"/>
              <w:right w:w="120" w:type="dxa"/>
            </w:tcMar>
          </w:tcPr>
          <w:p w14:paraId="71E57487" w14:textId="77777777" w:rsidR="00EC0494" w:rsidRDefault="00EC0494" w:rsidP="00EC0494">
            <w:pPr>
              <w:numPr>
                <w:ilvl w:val="0"/>
                <w:numId w:val="12"/>
              </w:numPr>
              <w:spacing w:line="276" w:lineRule="auto"/>
              <w:ind w:left="845"/>
            </w:pPr>
            <w:r>
              <w:rPr>
                <w:rFonts w:ascii="Cambria" w:hAnsi="Cambria"/>
                <w:color w:val="000000"/>
              </w:rPr>
              <w:t> </w:t>
            </w:r>
          </w:p>
        </w:tc>
      </w:tr>
    </w:tbl>
    <w:p w14:paraId="4477887B" w14:textId="77777777" w:rsidR="00EC0494" w:rsidRDefault="00EC0494" w:rsidP="00EC0494">
      <w:pPr>
        <w:ind w:left="120"/>
      </w:pPr>
    </w:p>
    <w:p w14:paraId="38BB9E9E" w14:textId="77777777" w:rsidR="00EC0494" w:rsidRDefault="00EC0494" w:rsidP="00EC0494">
      <w:pPr>
        <w:ind w:left="120"/>
      </w:pPr>
      <w:r>
        <w:rPr>
          <w:rFonts w:ascii="Cambria" w:hAnsi="Cambria"/>
          <w:color w:val="000000"/>
        </w:rPr>
        <w:t> </w:t>
      </w: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5512"/>
        <w:gridCol w:w="1234"/>
        <w:gridCol w:w="1234"/>
        <w:gridCol w:w="1245"/>
      </w:tblGrid>
      <w:tr w:rsidR="00EC0494" w14:paraId="225C526C" w14:textId="77777777" w:rsidTr="00FF600B">
        <w:trPr>
          <w:trHeight w:val="450"/>
          <w:tblCellSpacing w:w="0" w:type="dxa"/>
        </w:trPr>
        <w:tc>
          <w:tcPr>
            <w:tcW w:w="10020" w:type="dxa"/>
            <w:tcMar>
              <w:top w:w="75" w:type="dxa"/>
              <w:left w:w="120" w:type="dxa"/>
              <w:bottom w:w="75" w:type="dxa"/>
              <w:right w:w="120" w:type="dxa"/>
            </w:tcMar>
          </w:tcPr>
          <w:p w14:paraId="10C0D543" w14:textId="77777777" w:rsidR="00EC0494" w:rsidRDefault="00EC0494" w:rsidP="00FF600B">
            <w:pPr>
              <w:ind w:left="240"/>
            </w:pPr>
            <w:r>
              <w:rPr>
                <w:rFonts w:ascii="Cambria" w:hAnsi="Cambria"/>
                <w:b/>
                <w:color w:val="000000"/>
              </w:rPr>
              <w:t> Member Responsibilities</w:t>
            </w:r>
          </w:p>
        </w:tc>
        <w:tc>
          <w:tcPr>
            <w:tcW w:w="1340" w:type="dxa"/>
            <w:tcBorders>
              <w:left w:val="single" w:sz="8" w:space="0" w:color="C1C7CD"/>
            </w:tcBorders>
            <w:tcMar>
              <w:top w:w="75" w:type="dxa"/>
              <w:left w:w="120" w:type="dxa"/>
              <w:bottom w:w="75" w:type="dxa"/>
              <w:right w:w="120" w:type="dxa"/>
            </w:tcMar>
          </w:tcPr>
          <w:p w14:paraId="50C23837" w14:textId="77777777" w:rsidR="00EC0494" w:rsidRDefault="00EC0494" w:rsidP="00FF600B">
            <w:pPr>
              <w:ind w:left="240"/>
            </w:pPr>
            <w:r>
              <w:rPr>
                <w:rFonts w:ascii="Cambria" w:hAnsi="Cambria"/>
                <w:b/>
                <w:color w:val="000000"/>
              </w:rPr>
              <w:t>Tier 1</w:t>
            </w:r>
          </w:p>
        </w:tc>
        <w:tc>
          <w:tcPr>
            <w:tcW w:w="1340" w:type="dxa"/>
            <w:tcBorders>
              <w:left w:val="single" w:sz="8" w:space="0" w:color="C1C7CD"/>
            </w:tcBorders>
            <w:tcMar>
              <w:top w:w="75" w:type="dxa"/>
              <w:left w:w="120" w:type="dxa"/>
              <w:bottom w:w="75" w:type="dxa"/>
              <w:right w:w="120" w:type="dxa"/>
            </w:tcMar>
          </w:tcPr>
          <w:p w14:paraId="45F37DC2" w14:textId="77777777" w:rsidR="00EC0494" w:rsidRDefault="00EC0494" w:rsidP="00FF600B">
            <w:pPr>
              <w:ind w:left="240"/>
            </w:pPr>
            <w:r>
              <w:rPr>
                <w:rFonts w:ascii="Cambria" w:hAnsi="Cambria"/>
                <w:b/>
                <w:color w:val="000000"/>
              </w:rPr>
              <w:t>Tier 2</w:t>
            </w:r>
          </w:p>
        </w:tc>
        <w:tc>
          <w:tcPr>
            <w:tcW w:w="1340" w:type="dxa"/>
            <w:tcBorders>
              <w:left w:val="single" w:sz="8" w:space="0" w:color="C1C7CD"/>
            </w:tcBorders>
            <w:tcMar>
              <w:top w:w="75" w:type="dxa"/>
              <w:left w:w="120" w:type="dxa"/>
              <w:bottom w:w="75" w:type="dxa"/>
              <w:right w:w="120" w:type="dxa"/>
            </w:tcMar>
          </w:tcPr>
          <w:p w14:paraId="292C44E8" w14:textId="77777777" w:rsidR="00EC0494" w:rsidRDefault="00EC0494" w:rsidP="00FF600B">
            <w:pPr>
              <w:ind w:left="240"/>
            </w:pPr>
            <w:r>
              <w:rPr>
                <w:rFonts w:ascii="Cambria" w:hAnsi="Cambria"/>
                <w:b/>
                <w:color w:val="000000"/>
              </w:rPr>
              <w:t>Tier 3</w:t>
            </w:r>
          </w:p>
        </w:tc>
      </w:tr>
      <w:tr w:rsidR="00EC0494" w14:paraId="4ACDCB54" w14:textId="77777777" w:rsidTr="00FF600B">
        <w:trPr>
          <w:trHeight w:val="465"/>
          <w:tblCellSpacing w:w="0" w:type="dxa"/>
        </w:trPr>
        <w:tc>
          <w:tcPr>
            <w:tcW w:w="10020" w:type="dxa"/>
            <w:tcBorders>
              <w:top w:val="single" w:sz="8" w:space="0" w:color="C1C7CD"/>
            </w:tcBorders>
            <w:tcMar>
              <w:top w:w="75" w:type="dxa"/>
              <w:left w:w="120" w:type="dxa"/>
              <w:bottom w:w="75" w:type="dxa"/>
              <w:right w:w="120" w:type="dxa"/>
            </w:tcMar>
          </w:tcPr>
          <w:p w14:paraId="4AD2C06A" w14:textId="77777777" w:rsidR="00EC0494" w:rsidRDefault="00EC0494" w:rsidP="00FF600B">
            <w:pPr>
              <w:ind w:left="240"/>
            </w:pPr>
            <w:r>
              <w:rPr>
                <w:rFonts w:ascii="Cambria" w:hAnsi="Cambria"/>
                <w:color w:val="000000"/>
              </w:rPr>
              <w:t xml:space="preserve">Work towards PMH attributes </w:t>
            </w:r>
            <w:r>
              <w:rPr>
                <w:rFonts w:ascii="Cambria" w:hAnsi="Cambria"/>
                <w:i/>
                <w:color w:val="000000"/>
              </w:rPr>
              <w:t>(*only applies to PMHs)</w:t>
            </w:r>
          </w:p>
        </w:tc>
        <w:tc>
          <w:tcPr>
            <w:tcW w:w="1340" w:type="dxa"/>
            <w:tcBorders>
              <w:top w:val="single" w:sz="8" w:space="0" w:color="C1C7CD"/>
              <w:left w:val="single" w:sz="8" w:space="0" w:color="C1C7CD"/>
            </w:tcBorders>
            <w:tcMar>
              <w:top w:w="75" w:type="dxa"/>
              <w:left w:w="120" w:type="dxa"/>
              <w:bottom w:w="75" w:type="dxa"/>
              <w:right w:w="120" w:type="dxa"/>
            </w:tcMar>
          </w:tcPr>
          <w:p w14:paraId="122C91C8" w14:textId="77777777" w:rsidR="00EC0494" w:rsidRDefault="00EC0494" w:rsidP="00EC0494">
            <w:pPr>
              <w:numPr>
                <w:ilvl w:val="0"/>
                <w:numId w:val="13"/>
              </w:numPr>
              <w:spacing w:line="276" w:lineRule="auto"/>
              <w:ind w:left="845"/>
            </w:pPr>
            <w:r>
              <w:rPr>
                <w:rFonts w:ascii="Cambria" w:hAnsi="Cambria"/>
                <w:color w:val="000000"/>
              </w:rPr>
              <w:t> </w:t>
            </w:r>
          </w:p>
        </w:tc>
        <w:tc>
          <w:tcPr>
            <w:tcW w:w="1340" w:type="dxa"/>
            <w:tcBorders>
              <w:top w:val="single" w:sz="8" w:space="0" w:color="C1C7CD"/>
              <w:left w:val="single" w:sz="8" w:space="0" w:color="C1C7CD"/>
            </w:tcBorders>
            <w:tcMar>
              <w:top w:w="75" w:type="dxa"/>
              <w:left w:w="120" w:type="dxa"/>
              <w:bottom w:w="75" w:type="dxa"/>
              <w:right w:w="120" w:type="dxa"/>
            </w:tcMar>
          </w:tcPr>
          <w:p w14:paraId="52E14F04" w14:textId="77777777" w:rsidR="00EC0494" w:rsidRDefault="00EC0494" w:rsidP="00EC0494">
            <w:pPr>
              <w:numPr>
                <w:ilvl w:val="0"/>
                <w:numId w:val="14"/>
              </w:numPr>
              <w:spacing w:line="276" w:lineRule="auto"/>
              <w:ind w:left="845"/>
            </w:pPr>
            <w:r>
              <w:rPr>
                <w:rFonts w:ascii="Cambria" w:hAnsi="Cambria"/>
                <w:color w:val="000000"/>
              </w:rPr>
              <w:t> </w:t>
            </w:r>
          </w:p>
        </w:tc>
        <w:tc>
          <w:tcPr>
            <w:tcW w:w="1340" w:type="dxa"/>
            <w:tcBorders>
              <w:top w:val="single" w:sz="8" w:space="0" w:color="C1C7CD"/>
              <w:left w:val="single" w:sz="8" w:space="0" w:color="C1C7CD"/>
            </w:tcBorders>
            <w:tcMar>
              <w:top w:w="75" w:type="dxa"/>
              <w:left w:w="120" w:type="dxa"/>
              <w:bottom w:w="75" w:type="dxa"/>
              <w:right w:w="120" w:type="dxa"/>
            </w:tcMar>
          </w:tcPr>
          <w:p w14:paraId="28A1307C" w14:textId="77777777" w:rsidR="00EC0494" w:rsidRDefault="00EC0494" w:rsidP="00EC0494">
            <w:pPr>
              <w:numPr>
                <w:ilvl w:val="0"/>
                <w:numId w:val="15"/>
              </w:numPr>
              <w:spacing w:line="276" w:lineRule="auto"/>
              <w:ind w:left="845"/>
            </w:pPr>
            <w:r>
              <w:rPr>
                <w:rFonts w:ascii="Cambria" w:hAnsi="Cambria"/>
                <w:color w:val="000000"/>
              </w:rPr>
              <w:t> </w:t>
            </w:r>
          </w:p>
        </w:tc>
      </w:tr>
      <w:tr w:rsidR="00EC0494" w14:paraId="1EA9CA94" w14:textId="77777777" w:rsidTr="00FF600B">
        <w:trPr>
          <w:trHeight w:val="465"/>
          <w:tblCellSpacing w:w="0" w:type="dxa"/>
        </w:trPr>
        <w:tc>
          <w:tcPr>
            <w:tcW w:w="10020" w:type="dxa"/>
            <w:tcBorders>
              <w:top w:val="single" w:sz="8" w:space="0" w:color="C1C7CD"/>
            </w:tcBorders>
            <w:tcMar>
              <w:top w:w="75" w:type="dxa"/>
              <w:left w:w="120" w:type="dxa"/>
              <w:bottom w:w="75" w:type="dxa"/>
              <w:right w:w="120" w:type="dxa"/>
            </w:tcMar>
          </w:tcPr>
          <w:p w14:paraId="53FE3DE4" w14:textId="77777777" w:rsidR="00EC0494" w:rsidRDefault="00EC0494" w:rsidP="00FF600B">
            <w:pPr>
              <w:ind w:left="240"/>
            </w:pPr>
            <w:r>
              <w:rPr>
                <w:rFonts w:ascii="Cambria" w:hAnsi="Cambria"/>
                <w:color w:val="000000"/>
              </w:rPr>
              <w:t xml:space="preserve">Complete the </w:t>
            </w:r>
            <w:hyperlink r:id="rId5">
              <w:r>
                <w:rPr>
                  <w:rFonts w:ascii="Cambria" w:hAnsi="Cambria"/>
                  <w:color w:val="0000FF"/>
                  <w:u w:val="single"/>
                </w:rPr>
                <w:t>PMH assessment</w:t>
              </w:r>
            </w:hyperlink>
            <w:r>
              <w:rPr>
                <w:rFonts w:ascii="Cambria" w:hAnsi="Cambria"/>
                <w:color w:val="000000"/>
              </w:rPr>
              <w:t xml:space="preserve"> provided by GPSC</w:t>
            </w:r>
          </w:p>
        </w:tc>
        <w:tc>
          <w:tcPr>
            <w:tcW w:w="1340" w:type="dxa"/>
            <w:tcBorders>
              <w:top w:val="single" w:sz="8" w:space="0" w:color="C1C7CD"/>
              <w:left w:val="single" w:sz="8" w:space="0" w:color="C1C7CD"/>
            </w:tcBorders>
            <w:tcMar>
              <w:top w:w="75" w:type="dxa"/>
              <w:left w:w="120" w:type="dxa"/>
              <w:bottom w:w="75" w:type="dxa"/>
              <w:right w:w="120" w:type="dxa"/>
            </w:tcMar>
          </w:tcPr>
          <w:p w14:paraId="5B992EA4" w14:textId="77777777" w:rsidR="00EC0494" w:rsidRDefault="00EC0494" w:rsidP="00FF600B"/>
        </w:tc>
        <w:tc>
          <w:tcPr>
            <w:tcW w:w="1340" w:type="dxa"/>
            <w:tcBorders>
              <w:top w:val="single" w:sz="8" w:space="0" w:color="C1C7CD"/>
              <w:left w:val="single" w:sz="8" w:space="0" w:color="C1C7CD"/>
            </w:tcBorders>
            <w:tcMar>
              <w:top w:w="75" w:type="dxa"/>
              <w:left w:w="120" w:type="dxa"/>
              <w:bottom w:w="75" w:type="dxa"/>
              <w:right w:w="120" w:type="dxa"/>
            </w:tcMar>
          </w:tcPr>
          <w:p w14:paraId="1E9F291D" w14:textId="77777777" w:rsidR="00EC0494" w:rsidRDefault="00EC0494" w:rsidP="00EC0494">
            <w:pPr>
              <w:numPr>
                <w:ilvl w:val="0"/>
                <w:numId w:val="16"/>
              </w:numPr>
              <w:spacing w:line="276" w:lineRule="auto"/>
              <w:ind w:left="845"/>
            </w:pPr>
            <w:r>
              <w:rPr>
                <w:rFonts w:ascii="Cambria" w:hAnsi="Cambria"/>
                <w:color w:val="000000"/>
              </w:rPr>
              <w:t> </w:t>
            </w:r>
          </w:p>
        </w:tc>
        <w:tc>
          <w:tcPr>
            <w:tcW w:w="1340" w:type="dxa"/>
            <w:tcBorders>
              <w:top w:val="single" w:sz="8" w:space="0" w:color="C1C7CD"/>
              <w:left w:val="single" w:sz="8" w:space="0" w:color="C1C7CD"/>
            </w:tcBorders>
            <w:tcMar>
              <w:top w:w="75" w:type="dxa"/>
              <w:left w:w="120" w:type="dxa"/>
              <w:bottom w:w="75" w:type="dxa"/>
              <w:right w:w="120" w:type="dxa"/>
            </w:tcMar>
          </w:tcPr>
          <w:p w14:paraId="5AF907B6" w14:textId="77777777" w:rsidR="00EC0494" w:rsidRDefault="00EC0494" w:rsidP="00EC0494">
            <w:pPr>
              <w:numPr>
                <w:ilvl w:val="0"/>
                <w:numId w:val="17"/>
              </w:numPr>
              <w:spacing w:line="276" w:lineRule="auto"/>
              <w:ind w:left="845"/>
            </w:pPr>
            <w:r>
              <w:rPr>
                <w:rFonts w:ascii="Cambria" w:hAnsi="Cambria"/>
                <w:color w:val="000000"/>
              </w:rPr>
              <w:t> </w:t>
            </w:r>
          </w:p>
        </w:tc>
      </w:tr>
      <w:tr w:rsidR="00EC0494" w14:paraId="0859DA3C" w14:textId="77777777" w:rsidTr="00FF600B">
        <w:trPr>
          <w:trHeight w:val="465"/>
          <w:tblCellSpacing w:w="0" w:type="dxa"/>
        </w:trPr>
        <w:tc>
          <w:tcPr>
            <w:tcW w:w="10020" w:type="dxa"/>
            <w:tcBorders>
              <w:top w:val="single" w:sz="8" w:space="0" w:color="C1C7CD"/>
            </w:tcBorders>
            <w:tcMar>
              <w:top w:w="75" w:type="dxa"/>
              <w:left w:w="120" w:type="dxa"/>
              <w:bottom w:w="75" w:type="dxa"/>
              <w:right w:w="120" w:type="dxa"/>
            </w:tcMar>
          </w:tcPr>
          <w:p w14:paraId="72CD5419" w14:textId="77777777" w:rsidR="00EC0494" w:rsidRDefault="00EC0494" w:rsidP="00FF600B">
            <w:pPr>
              <w:ind w:left="240"/>
            </w:pPr>
            <w:r>
              <w:rPr>
                <w:rFonts w:ascii="Cambria" w:hAnsi="Cambria"/>
                <w:color w:val="000000"/>
              </w:rPr>
              <w:t>Actively partner in team-based care</w:t>
            </w:r>
          </w:p>
        </w:tc>
        <w:tc>
          <w:tcPr>
            <w:tcW w:w="1340" w:type="dxa"/>
            <w:tcBorders>
              <w:top w:val="single" w:sz="8" w:space="0" w:color="C1C7CD"/>
              <w:left w:val="single" w:sz="8" w:space="0" w:color="C1C7CD"/>
            </w:tcBorders>
            <w:tcMar>
              <w:top w:w="75" w:type="dxa"/>
              <w:left w:w="120" w:type="dxa"/>
              <w:bottom w:w="75" w:type="dxa"/>
              <w:right w:w="120" w:type="dxa"/>
            </w:tcMar>
          </w:tcPr>
          <w:p w14:paraId="4A203619" w14:textId="77777777" w:rsidR="00EC0494" w:rsidRDefault="00EC0494" w:rsidP="00FF600B">
            <w:pPr>
              <w:ind w:left="240"/>
            </w:pPr>
            <w:r>
              <w:rPr>
                <w:rFonts w:ascii="Cambria" w:hAnsi="Cambria"/>
                <w:color w:val="000000"/>
              </w:rPr>
              <w:t> </w:t>
            </w:r>
          </w:p>
        </w:tc>
        <w:tc>
          <w:tcPr>
            <w:tcW w:w="1340" w:type="dxa"/>
            <w:tcBorders>
              <w:top w:val="single" w:sz="8" w:space="0" w:color="C1C7CD"/>
              <w:left w:val="single" w:sz="8" w:space="0" w:color="C1C7CD"/>
            </w:tcBorders>
            <w:tcMar>
              <w:top w:w="75" w:type="dxa"/>
              <w:left w:w="120" w:type="dxa"/>
              <w:bottom w:w="75" w:type="dxa"/>
              <w:right w:w="120" w:type="dxa"/>
            </w:tcMar>
          </w:tcPr>
          <w:p w14:paraId="50C83007" w14:textId="77777777" w:rsidR="00EC0494" w:rsidRDefault="00EC0494" w:rsidP="00EC0494">
            <w:pPr>
              <w:numPr>
                <w:ilvl w:val="0"/>
                <w:numId w:val="18"/>
              </w:numPr>
              <w:spacing w:line="276" w:lineRule="auto"/>
              <w:ind w:left="845"/>
            </w:pPr>
            <w:r>
              <w:rPr>
                <w:rFonts w:ascii="Cambria" w:hAnsi="Cambria"/>
                <w:color w:val="000000"/>
              </w:rPr>
              <w:t> </w:t>
            </w:r>
          </w:p>
        </w:tc>
        <w:tc>
          <w:tcPr>
            <w:tcW w:w="1340" w:type="dxa"/>
            <w:tcBorders>
              <w:top w:val="single" w:sz="8" w:space="0" w:color="C1C7CD"/>
              <w:left w:val="single" w:sz="8" w:space="0" w:color="C1C7CD"/>
            </w:tcBorders>
            <w:tcMar>
              <w:top w:w="75" w:type="dxa"/>
              <w:left w:w="120" w:type="dxa"/>
              <w:bottom w:w="75" w:type="dxa"/>
              <w:right w:w="120" w:type="dxa"/>
            </w:tcMar>
          </w:tcPr>
          <w:p w14:paraId="2AE7594E" w14:textId="77777777" w:rsidR="00EC0494" w:rsidRDefault="00EC0494" w:rsidP="00EC0494">
            <w:pPr>
              <w:numPr>
                <w:ilvl w:val="0"/>
                <w:numId w:val="19"/>
              </w:numPr>
              <w:spacing w:line="276" w:lineRule="auto"/>
              <w:ind w:left="845"/>
            </w:pPr>
            <w:r>
              <w:rPr>
                <w:rFonts w:ascii="Cambria" w:hAnsi="Cambria"/>
                <w:color w:val="000000"/>
              </w:rPr>
              <w:t> </w:t>
            </w:r>
          </w:p>
        </w:tc>
      </w:tr>
      <w:tr w:rsidR="00EC0494" w14:paraId="79F3C7BA" w14:textId="77777777" w:rsidTr="00FF600B">
        <w:trPr>
          <w:trHeight w:val="465"/>
          <w:tblCellSpacing w:w="0" w:type="dxa"/>
        </w:trPr>
        <w:tc>
          <w:tcPr>
            <w:tcW w:w="10020" w:type="dxa"/>
            <w:tcBorders>
              <w:top w:val="single" w:sz="8" w:space="0" w:color="C1C7CD"/>
            </w:tcBorders>
            <w:tcMar>
              <w:top w:w="75" w:type="dxa"/>
              <w:left w:w="120" w:type="dxa"/>
              <w:bottom w:w="75" w:type="dxa"/>
              <w:right w:w="120" w:type="dxa"/>
            </w:tcMar>
          </w:tcPr>
          <w:p w14:paraId="7A15DB8D" w14:textId="77777777" w:rsidR="00EC0494" w:rsidRDefault="00EC0494" w:rsidP="00FF600B">
            <w:pPr>
              <w:ind w:left="240"/>
            </w:pPr>
            <w:r>
              <w:rPr>
                <w:rFonts w:ascii="Cambria" w:hAnsi="Cambria"/>
                <w:color w:val="000000"/>
              </w:rPr>
              <w:t>Participate in cultural safety training, trauma informed, &amp; change management training to support the introduction of new team members</w:t>
            </w:r>
          </w:p>
        </w:tc>
        <w:tc>
          <w:tcPr>
            <w:tcW w:w="1340" w:type="dxa"/>
            <w:tcBorders>
              <w:top w:val="single" w:sz="8" w:space="0" w:color="C1C7CD"/>
              <w:left w:val="single" w:sz="8" w:space="0" w:color="C1C7CD"/>
            </w:tcBorders>
            <w:tcMar>
              <w:top w:w="75" w:type="dxa"/>
              <w:left w:w="120" w:type="dxa"/>
              <w:bottom w:w="75" w:type="dxa"/>
              <w:right w:w="120" w:type="dxa"/>
            </w:tcMar>
          </w:tcPr>
          <w:p w14:paraId="3394B36C" w14:textId="77777777" w:rsidR="00EC0494" w:rsidRDefault="00EC0494" w:rsidP="00FF600B"/>
        </w:tc>
        <w:tc>
          <w:tcPr>
            <w:tcW w:w="1340" w:type="dxa"/>
            <w:tcBorders>
              <w:top w:val="single" w:sz="8" w:space="0" w:color="C1C7CD"/>
              <w:left w:val="single" w:sz="8" w:space="0" w:color="C1C7CD"/>
            </w:tcBorders>
            <w:tcMar>
              <w:top w:w="75" w:type="dxa"/>
              <w:left w:w="120" w:type="dxa"/>
              <w:bottom w:w="75" w:type="dxa"/>
              <w:right w:w="120" w:type="dxa"/>
            </w:tcMar>
          </w:tcPr>
          <w:p w14:paraId="6AB4122B" w14:textId="77777777" w:rsidR="00EC0494" w:rsidRDefault="00EC0494" w:rsidP="00EC0494">
            <w:pPr>
              <w:numPr>
                <w:ilvl w:val="0"/>
                <w:numId w:val="20"/>
              </w:numPr>
              <w:spacing w:line="276" w:lineRule="auto"/>
              <w:ind w:left="845"/>
            </w:pPr>
            <w:r>
              <w:rPr>
                <w:rFonts w:ascii="Cambria" w:hAnsi="Cambria"/>
                <w:color w:val="000000"/>
              </w:rPr>
              <w:t> </w:t>
            </w:r>
          </w:p>
        </w:tc>
        <w:tc>
          <w:tcPr>
            <w:tcW w:w="1340" w:type="dxa"/>
            <w:tcBorders>
              <w:top w:val="single" w:sz="8" w:space="0" w:color="C1C7CD"/>
              <w:left w:val="single" w:sz="8" w:space="0" w:color="C1C7CD"/>
            </w:tcBorders>
            <w:tcMar>
              <w:top w:w="75" w:type="dxa"/>
              <w:left w:w="120" w:type="dxa"/>
              <w:bottom w:w="75" w:type="dxa"/>
              <w:right w:w="120" w:type="dxa"/>
            </w:tcMar>
          </w:tcPr>
          <w:p w14:paraId="1929F6F5" w14:textId="77777777" w:rsidR="00EC0494" w:rsidRDefault="00EC0494" w:rsidP="00EC0494">
            <w:pPr>
              <w:numPr>
                <w:ilvl w:val="0"/>
                <w:numId w:val="21"/>
              </w:numPr>
              <w:spacing w:line="276" w:lineRule="auto"/>
              <w:ind w:left="845"/>
            </w:pPr>
            <w:r>
              <w:rPr>
                <w:rFonts w:ascii="Cambria" w:hAnsi="Cambria"/>
                <w:color w:val="000000"/>
              </w:rPr>
              <w:t> </w:t>
            </w:r>
          </w:p>
        </w:tc>
      </w:tr>
      <w:tr w:rsidR="00EC0494" w14:paraId="75E245CF" w14:textId="77777777" w:rsidTr="00FF600B">
        <w:trPr>
          <w:trHeight w:val="465"/>
          <w:tblCellSpacing w:w="0" w:type="dxa"/>
        </w:trPr>
        <w:tc>
          <w:tcPr>
            <w:tcW w:w="10020" w:type="dxa"/>
            <w:tcBorders>
              <w:top w:val="single" w:sz="8" w:space="0" w:color="C1C7CD"/>
            </w:tcBorders>
            <w:tcMar>
              <w:top w:w="75" w:type="dxa"/>
              <w:left w:w="120" w:type="dxa"/>
              <w:bottom w:w="75" w:type="dxa"/>
              <w:right w:w="120" w:type="dxa"/>
            </w:tcMar>
          </w:tcPr>
          <w:p w14:paraId="184229A7" w14:textId="77777777" w:rsidR="00EC0494" w:rsidRDefault="00EC0494" w:rsidP="00FF600B">
            <w:pPr>
              <w:ind w:left="240"/>
            </w:pPr>
            <w:r>
              <w:rPr>
                <w:rFonts w:ascii="Cambria" w:hAnsi="Cambria"/>
                <w:color w:val="000000"/>
              </w:rPr>
              <w:t>Regularly provide data for PCN monitoring &amp; evaluation, including patient experience surveys</w:t>
            </w:r>
          </w:p>
        </w:tc>
        <w:tc>
          <w:tcPr>
            <w:tcW w:w="1340" w:type="dxa"/>
            <w:tcBorders>
              <w:top w:val="single" w:sz="8" w:space="0" w:color="C1C7CD"/>
              <w:left w:val="single" w:sz="8" w:space="0" w:color="C1C7CD"/>
            </w:tcBorders>
            <w:tcMar>
              <w:top w:w="75" w:type="dxa"/>
              <w:left w:w="120" w:type="dxa"/>
              <w:bottom w:w="75" w:type="dxa"/>
              <w:right w:w="120" w:type="dxa"/>
            </w:tcMar>
          </w:tcPr>
          <w:p w14:paraId="3D44A18B" w14:textId="77777777" w:rsidR="00EC0494" w:rsidRDefault="00EC0494" w:rsidP="00FF600B"/>
        </w:tc>
        <w:tc>
          <w:tcPr>
            <w:tcW w:w="1340" w:type="dxa"/>
            <w:tcBorders>
              <w:top w:val="single" w:sz="8" w:space="0" w:color="C1C7CD"/>
              <w:left w:val="single" w:sz="8" w:space="0" w:color="C1C7CD"/>
            </w:tcBorders>
            <w:tcMar>
              <w:top w:w="75" w:type="dxa"/>
              <w:left w:w="120" w:type="dxa"/>
              <w:bottom w:w="75" w:type="dxa"/>
              <w:right w:w="120" w:type="dxa"/>
            </w:tcMar>
          </w:tcPr>
          <w:p w14:paraId="0CF61BFA" w14:textId="77777777" w:rsidR="00EC0494" w:rsidRDefault="00EC0494" w:rsidP="00EC0494">
            <w:pPr>
              <w:numPr>
                <w:ilvl w:val="0"/>
                <w:numId w:val="22"/>
              </w:numPr>
              <w:spacing w:line="276" w:lineRule="auto"/>
              <w:ind w:left="845"/>
            </w:pPr>
            <w:r>
              <w:rPr>
                <w:rFonts w:ascii="Cambria" w:hAnsi="Cambria"/>
                <w:color w:val="000000"/>
              </w:rPr>
              <w:t> </w:t>
            </w:r>
          </w:p>
        </w:tc>
        <w:tc>
          <w:tcPr>
            <w:tcW w:w="1340" w:type="dxa"/>
            <w:tcBorders>
              <w:top w:val="single" w:sz="8" w:space="0" w:color="C1C7CD"/>
              <w:left w:val="single" w:sz="8" w:space="0" w:color="C1C7CD"/>
            </w:tcBorders>
            <w:tcMar>
              <w:top w:w="75" w:type="dxa"/>
              <w:left w:w="120" w:type="dxa"/>
              <w:bottom w:w="75" w:type="dxa"/>
              <w:right w:w="120" w:type="dxa"/>
            </w:tcMar>
          </w:tcPr>
          <w:p w14:paraId="589C0E6D" w14:textId="77777777" w:rsidR="00EC0494" w:rsidRDefault="00EC0494" w:rsidP="00EC0494">
            <w:pPr>
              <w:numPr>
                <w:ilvl w:val="0"/>
                <w:numId w:val="23"/>
              </w:numPr>
              <w:spacing w:line="276" w:lineRule="auto"/>
              <w:ind w:left="845"/>
            </w:pPr>
            <w:r>
              <w:rPr>
                <w:rFonts w:ascii="Cambria" w:hAnsi="Cambria"/>
                <w:color w:val="000000"/>
              </w:rPr>
              <w:t> </w:t>
            </w:r>
          </w:p>
        </w:tc>
      </w:tr>
      <w:tr w:rsidR="00EC0494" w14:paraId="3A401C81" w14:textId="77777777" w:rsidTr="00FF600B">
        <w:trPr>
          <w:trHeight w:val="465"/>
          <w:tblCellSpacing w:w="0" w:type="dxa"/>
        </w:trPr>
        <w:tc>
          <w:tcPr>
            <w:tcW w:w="10020" w:type="dxa"/>
            <w:tcBorders>
              <w:top w:val="single" w:sz="8" w:space="0" w:color="C1C7CD"/>
            </w:tcBorders>
            <w:tcMar>
              <w:top w:w="75" w:type="dxa"/>
              <w:left w:w="120" w:type="dxa"/>
              <w:bottom w:w="75" w:type="dxa"/>
              <w:right w:w="120" w:type="dxa"/>
            </w:tcMar>
          </w:tcPr>
          <w:p w14:paraId="049D0AB7" w14:textId="77777777" w:rsidR="00EC0494" w:rsidRDefault="00EC0494" w:rsidP="00FF600B">
            <w:pPr>
              <w:ind w:left="240"/>
            </w:pPr>
            <w:r>
              <w:rPr>
                <w:rFonts w:ascii="Cambria" w:hAnsi="Cambria"/>
                <w:color w:val="000000"/>
              </w:rPr>
              <w:t>Work collaboratively with the enhanced provincial Health Connect Registry if PCN resources require attachment</w:t>
            </w:r>
          </w:p>
        </w:tc>
        <w:tc>
          <w:tcPr>
            <w:tcW w:w="1340" w:type="dxa"/>
            <w:tcBorders>
              <w:top w:val="single" w:sz="8" w:space="0" w:color="C1C7CD"/>
              <w:left w:val="single" w:sz="8" w:space="0" w:color="C1C7CD"/>
            </w:tcBorders>
            <w:tcMar>
              <w:top w:w="75" w:type="dxa"/>
              <w:left w:w="120" w:type="dxa"/>
              <w:bottom w:w="75" w:type="dxa"/>
              <w:right w:w="120" w:type="dxa"/>
            </w:tcMar>
          </w:tcPr>
          <w:p w14:paraId="17B0D358" w14:textId="77777777" w:rsidR="00EC0494" w:rsidRDefault="00EC0494" w:rsidP="00FF600B">
            <w:pPr>
              <w:ind w:left="240"/>
            </w:pPr>
            <w:r>
              <w:rPr>
                <w:rFonts w:ascii="Cambria" w:hAnsi="Cambria"/>
                <w:color w:val="000000"/>
              </w:rPr>
              <w:t> </w:t>
            </w:r>
          </w:p>
        </w:tc>
        <w:tc>
          <w:tcPr>
            <w:tcW w:w="1340" w:type="dxa"/>
            <w:tcBorders>
              <w:top w:val="single" w:sz="8" w:space="0" w:color="C1C7CD"/>
              <w:left w:val="single" w:sz="8" w:space="0" w:color="C1C7CD"/>
            </w:tcBorders>
            <w:tcMar>
              <w:top w:w="75" w:type="dxa"/>
              <w:left w:w="120" w:type="dxa"/>
              <w:bottom w:w="75" w:type="dxa"/>
              <w:right w:w="120" w:type="dxa"/>
            </w:tcMar>
          </w:tcPr>
          <w:p w14:paraId="75A887AB" w14:textId="77777777" w:rsidR="00EC0494" w:rsidRDefault="00EC0494" w:rsidP="00FF600B">
            <w:pPr>
              <w:ind w:left="240"/>
            </w:pPr>
            <w:r>
              <w:rPr>
                <w:rFonts w:ascii="Cambria" w:hAnsi="Cambria"/>
                <w:color w:val="000000"/>
              </w:rPr>
              <w:t> </w:t>
            </w:r>
          </w:p>
        </w:tc>
        <w:tc>
          <w:tcPr>
            <w:tcW w:w="1340" w:type="dxa"/>
            <w:tcBorders>
              <w:top w:val="single" w:sz="8" w:space="0" w:color="C1C7CD"/>
              <w:left w:val="single" w:sz="8" w:space="0" w:color="C1C7CD"/>
            </w:tcBorders>
            <w:tcMar>
              <w:top w:w="75" w:type="dxa"/>
              <w:left w:w="120" w:type="dxa"/>
              <w:bottom w:w="75" w:type="dxa"/>
              <w:right w:w="120" w:type="dxa"/>
            </w:tcMar>
          </w:tcPr>
          <w:p w14:paraId="5D69ADDF" w14:textId="77777777" w:rsidR="00EC0494" w:rsidRDefault="00EC0494" w:rsidP="00EC0494">
            <w:pPr>
              <w:numPr>
                <w:ilvl w:val="0"/>
                <w:numId w:val="24"/>
              </w:numPr>
              <w:spacing w:line="276" w:lineRule="auto"/>
              <w:ind w:left="845"/>
            </w:pPr>
            <w:r>
              <w:rPr>
                <w:rFonts w:ascii="Cambria" w:hAnsi="Cambria"/>
                <w:color w:val="000000"/>
              </w:rPr>
              <w:t> </w:t>
            </w:r>
          </w:p>
        </w:tc>
      </w:tr>
      <w:tr w:rsidR="00EC0494" w14:paraId="6D9EFB82" w14:textId="77777777" w:rsidTr="00FF600B">
        <w:trPr>
          <w:trHeight w:val="465"/>
          <w:tblCellSpacing w:w="0" w:type="dxa"/>
        </w:trPr>
        <w:tc>
          <w:tcPr>
            <w:tcW w:w="10020" w:type="dxa"/>
            <w:tcBorders>
              <w:top w:val="single" w:sz="8" w:space="0" w:color="C1C7CD"/>
            </w:tcBorders>
            <w:tcMar>
              <w:top w:w="75" w:type="dxa"/>
              <w:left w:w="120" w:type="dxa"/>
              <w:bottom w:w="75" w:type="dxa"/>
              <w:right w:w="120" w:type="dxa"/>
            </w:tcMar>
          </w:tcPr>
          <w:p w14:paraId="48924832" w14:textId="77777777" w:rsidR="00EC0494" w:rsidRDefault="00EC0494" w:rsidP="00FF600B">
            <w:pPr>
              <w:ind w:left="240"/>
            </w:pPr>
            <w:r>
              <w:rPr>
                <w:rFonts w:ascii="Cambria" w:hAnsi="Cambria"/>
                <w:color w:val="000000"/>
              </w:rPr>
              <w:t>Ensure adequate space to support an interprofessional team member</w:t>
            </w:r>
          </w:p>
        </w:tc>
        <w:tc>
          <w:tcPr>
            <w:tcW w:w="1340" w:type="dxa"/>
            <w:tcBorders>
              <w:top w:val="single" w:sz="8" w:space="0" w:color="C1C7CD"/>
              <w:left w:val="single" w:sz="8" w:space="0" w:color="C1C7CD"/>
            </w:tcBorders>
            <w:tcMar>
              <w:top w:w="75" w:type="dxa"/>
              <w:left w:w="120" w:type="dxa"/>
              <w:bottom w:w="75" w:type="dxa"/>
              <w:right w:w="120" w:type="dxa"/>
            </w:tcMar>
          </w:tcPr>
          <w:p w14:paraId="2EE87D02" w14:textId="77777777" w:rsidR="00EC0494" w:rsidRDefault="00EC0494" w:rsidP="00FF600B">
            <w:pPr>
              <w:ind w:left="240"/>
            </w:pPr>
            <w:r>
              <w:rPr>
                <w:rFonts w:ascii="Cambria" w:hAnsi="Cambria"/>
                <w:color w:val="000000"/>
              </w:rPr>
              <w:t> </w:t>
            </w:r>
          </w:p>
        </w:tc>
        <w:tc>
          <w:tcPr>
            <w:tcW w:w="1340" w:type="dxa"/>
            <w:tcBorders>
              <w:top w:val="single" w:sz="8" w:space="0" w:color="C1C7CD"/>
              <w:left w:val="single" w:sz="8" w:space="0" w:color="C1C7CD"/>
            </w:tcBorders>
            <w:tcMar>
              <w:top w:w="75" w:type="dxa"/>
              <w:left w:w="120" w:type="dxa"/>
              <w:bottom w:w="75" w:type="dxa"/>
              <w:right w:w="120" w:type="dxa"/>
            </w:tcMar>
          </w:tcPr>
          <w:p w14:paraId="28107D36" w14:textId="77777777" w:rsidR="00EC0494" w:rsidRDefault="00EC0494" w:rsidP="00FF600B">
            <w:pPr>
              <w:ind w:left="240"/>
            </w:pPr>
            <w:r>
              <w:rPr>
                <w:rFonts w:ascii="Cambria" w:hAnsi="Cambria"/>
                <w:color w:val="000000"/>
              </w:rPr>
              <w:t> </w:t>
            </w:r>
          </w:p>
        </w:tc>
        <w:tc>
          <w:tcPr>
            <w:tcW w:w="1340" w:type="dxa"/>
            <w:tcBorders>
              <w:top w:val="single" w:sz="8" w:space="0" w:color="C1C7CD"/>
              <w:left w:val="single" w:sz="8" w:space="0" w:color="C1C7CD"/>
            </w:tcBorders>
            <w:tcMar>
              <w:top w:w="75" w:type="dxa"/>
              <w:left w:w="120" w:type="dxa"/>
              <w:bottom w:w="75" w:type="dxa"/>
              <w:right w:w="120" w:type="dxa"/>
            </w:tcMar>
          </w:tcPr>
          <w:p w14:paraId="1BA03F09" w14:textId="77777777" w:rsidR="00EC0494" w:rsidRDefault="00EC0494" w:rsidP="00EC0494">
            <w:pPr>
              <w:numPr>
                <w:ilvl w:val="0"/>
                <w:numId w:val="25"/>
              </w:numPr>
              <w:spacing w:line="276" w:lineRule="auto"/>
              <w:ind w:left="845"/>
            </w:pPr>
            <w:r>
              <w:rPr>
                <w:rFonts w:ascii="Cambria" w:hAnsi="Cambria"/>
                <w:color w:val="000000"/>
              </w:rPr>
              <w:t> </w:t>
            </w:r>
          </w:p>
        </w:tc>
      </w:tr>
    </w:tbl>
    <w:p w14:paraId="07238FC2" w14:textId="77777777" w:rsidR="00EC0494" w:rsidRDefault="00EC0494" w:rsidP="00EC0494">
      <w:pPr>
        <w:ind w:left="120"/>
      </w:pPr>
    </w:p>
    <w:p w14:paraId="4FD6619B" w14:textId="6726D85C" w:rsidR="00EC0494" w:rsidRDefault="00EC0494" w:rsidP="001C069F">
      <w:pPr>
        <w:pStyle w:val="Heading3"/>
      </w:pPr>
      <w:r>
        <w:rPr>
          <w:rFonts w:ascii="Cambria" w:hAnsi="Cambria"/>
          <w:color w:val="000000"/>
          <w:sz w:val="22"/>
        </w:rPr>
        <w:t> </w:t>
      </w:r>
      <w:r>
        <w:t>Supporting Team-Based Care</w:t>
      </w:r>
    </w:p>
    <w:p w14:paraId="6E6B4515" w14:textId="6228666A" w:rsidR="00EC0494" w:rsidRDefault="00EC0494" w:rsidP="001C069F">
      <w:r>
        <w:t>Team-based Care is a new model of care known to provide an overall benefit to patients and providers through improved coordination between primary care services when compared to fractioned models of care.</w:t>
      </w:r>
      <w:hyperlink>
        <w:r>
          <w:rPr>
            <w:color w:val="0000FF"/>
            <w:u w:val="single"/>
          </w:rPr>
          <w:t>[1]</w:t>
        </w:r>
      </w:hyperlink>
      <w:r>
        <w:t xml:space="preserve">  The Oceanside PCN is dedicated to supporting the development and implementation of team-based care with participating clinics.  Team Based Care provides health services to individuals, families, and/or their communities by care providers.  Care givers work collaboratively with patients (according to their individul preferences) to accomplish shared goals to achieve coordinated high quality care that is patient centered.  </w:t>
      </w:r>
    </w:p>
    <w:p w14:paraId="42EDC9E6" w14:textId="77777777" w:rsidR="001C069F" w:rsidRDefault="001C069F" w:rsidP="001C069F"/>
    <w:p w14:paraId="2446254D" w14:textId="77777777" w:rsidR="00EC0494" w:rsidRDefault="00EC0494" w:rsidP="001C069F">
      <w:r>
        <w:t>We know that the main enablers of team-based care include:</w:t>
      </w:r>
    </w:p>
    <w:p w14:paraId="3211B964" w14:textId="77777777" w:rsidR="00EC0494" w:rsidRDefault="00EC0494" w:rsidP="00EC0494">
      <w:pPr>
        <w:numPr>
          <w:ilvl w:val="0"/>
          <w:numId w:val="26"/>
        </w:numPr>
        <w:spacing w:line="276" w:lineRule="auto"/>
      </w:pPr>
      <w:r>
        <w:rPr>
          <w:rFonts w:ascii="Cambria" w:hAnsi="Cambria"/>
          <w:color w:val="000000"/>
        </w:rPr>
        <w:t>Agreed upon definitions of a successful team</w:t>
      </w:r>
    </w:p>
    <w:p w14:paraId="6D01F091" w14:textId="77777777" w:rsidR="00EC0494" w:rsidRDefault="00EC0494" w:rsidP="00EC0494">
      <w:pPr>
        <w:numPr>
          <w:ilvl w:val="0"/>
          <w:numId w:val="26"/>
        </w:numPr>
        <w:spacing w:line="276" w:lineRule="auto"/>
      </w:pPr>
      <w:r>
        <w:rPr>
          <w:rFonts w:ascii="Cambria" w:hAnsi="Cambria"/>
          <w:color w:val="000000"/>
        </w:rPr>
        <w:t>Shared values and principles</w:t>
      </w:r>
    </w:p>
    <w:p w14:paraId="7E76D033" w14:textId="77777777" w:rsidR="00EC0494" w:rsidRDefault="00EC0494" w:rsidP="00EC0494">
      <w:pPr>
        <w:numPr>
          <w:ilvl w:val="0"/>
          <w:numId w:val="26"/>
        </w:numPr>
        <w:spacing w:line="276" w:lineRule="auto"/>
      </w:pPr>
      <w:r>
        <w:rPr>
          <w:rFonts w:ascii="Cambria" w:hAnsi="Cambria"/>
          <w:color w:val="000000"/>
        </w:rPr>
        <w:t>Role Clarity</w:t>
      </w:r>
    </w:p>
    <w:p w14:paraId="2F1E3987" w14:textId="77777777" w:rsidR="00EC0494" w:rsidRDefault="00EC0494" w:rsidP="00EC0494">
      <w:pPr>
        <w:numPr>
          <w:ilvl w:val="0"/>
          <w:numId w:val="26"/>
        </w:numPr>
        <w:spacing w:line="276" w:lineRule="auto"/>
      </w:pPr>
      <w:r>
        <w:rPr>
          <w:rFonts w:ascii="Cambria" w:hAnsi="Cambria"/>
          <w:color w:val="000000"/>
        </w:rPr>
        <w:lastRenderedPageBreak/>
        <w:t>Co-location where possible</w:t>
      </w:r>
    </w:p>
    <w:p w14:paraId="3591B368" w14:textId="77777777" w:rsidR="00EC0494" w:rsidRDefault="00EC0494" w:rsidP="00EC0494">
      <w:pPr>
        <w:numPr>
          <w:ilvl w:val="0"/>
          <w:numId w:val="26"/>
        </w:numPr>
        <w:spacing w:line="276" w:lineRule="auto"/>
      </w:pPr>
      <w:r>
        <w:rPr>
          <w:rFonts w:ascii="Cambria" w:hAnsi="Cambria"/>
          <w:color w:val="000000"/>
        </w:rPr>
        <w:t>Effective communication</w:t>
      </w:r>
    </w:p>
    <w:p w14:paraId="319C5B93" w14:textId="77777777" w:rsidR="00EC0494" w:rsidRDefault="00EC0494" w:rsidP="00EC0494">
      <w:pPr>
        <w:numPr>
          <w:ilvl w:val="0"/>
          <w:numId w:val="26"/>
        </w:numPr>
        <w:spacing w:line="276" w:lineRule="auto"/>
      </w:pPr>
      <w:r>
        <w:rPr>
          <w:rFonts w:ascii="Cambria" w:hAnsi="Cambria"/>
          <w:color w:val="000000"/>
        </w:rPr>
        <w:t>IT Systems</w:t>
      </w:r>
    </w:p>
    <w:p w14:paraId="5671D21F" w14:textId="77777777" w:rsidR="00EC0494" w:rsidRDefault="00EC0494" w:rsidP="00EC0494">
      <w:pPr>
        <w:numPr>
          <w:ilvl w:val="0"/>
          <w:numId w:val="26"/>
        </w:numPr>
        <w:spacing w:line="276" w:lineRule="auto"/>
      </w:pPr>
      <w:r>
        <w:rPr>
          <w:rFonts w:ascii="Cambria" w:hAnsi="Cambria"/>
          <w:color w:val="000000"/>
        </w:rPr>
        <w:t>Leadership</w:t>
      </w:r>
    </w:p>
    <w:p w14:paraId="6796C02F" w14:textId="77777777" w:rsidR="00EC0494" w:rsidRDefault="00EC0494" w:rsidP="00EC0494">
      <w:pPr>
        <w:numPr>
          <w:ilvl w:val="0"/>
          <w:numId w:val="26"/>
        </w:numPr>
        <w:spacing w:line="276" w:lineRule="auto"/>
      </w:pPr>
      <w:r>
        <w:rPr>
          <w:rFonts w:ascii="Cambria" w:hAnsi="Cambria"/>
          <w:color w:val="000000"/>
        </w:rPr>
        <w:t>Training and team development</w:t>
      </w:r>
    </w:p>
    <w:p w14:paraId="1D57AB82" w14:textId="7FF82FE9" w:rsidR="00EC0494" w:rsidRPr="001C069F" w:rsidRDefault="00EC0494" w:rsidP="00EC0494">
      <w:pPr>
        <w:numPr>
          <w:ilvl w:val="0"/>
          <w:numId w:val="26"/>
        </w:numPr>
        <w:spacing w:line="276" w:lineRule="auto"/>
      </w:pPr>
      <w:r>
        <w:rPr>
          <w:rFonts w:ascii="Cambria" w:hAnsi="Cambria"/>
          <w:color w:val="000000"/>
        </w:rPr>
        <w:t>Continuous measurement as a guide for continual improvement through feedback.</w:t>
      </w:r>
    </w:p>
    <w:p w14:paraId="6F530616" w14:textId="77777777" w:rsidR="001C069F" w:rsidRDefault="001C069F" w:rsidP="001C069F">
      <w:pPr>
        <w:spacing w:line="276" w:lineRule="auto"/>
        <w:ind w:left="960"/>
      </w:pPr>
    </w:p>
    <w:p w14:paraId="475B6B4D" w14:textId="77777777" w:rsidR="00EC0494" w:rsidRDefault="00EC0494" w:rsidP="001C069F">
      <w:r>
        <w:t>We are committed to implementing an onboarding and learning plan and the necessary supports to ensure that participating teams can be successful and are supported. This will include individual and clinic location orientation sessions as well as team learning opportunities, such as cultural safety and humility learning and team process mapping to name a few. As teams develop you can expect that we will be reaching out to determine change readiness and your team learning needs.</w:t>
      </w:r>
    </w:p>
    <w:p w14:paraId="193030FB" w14:textId="77777777" w:rsidR="00EC0494" w:rsidRDefault="00EC0494" w:rsidP="001C069F">
      <w:pPr>
        <w:pStyle w:val="Heading3"/>
      </w:pPr>
      <w:r>
        <w:t>Supports for Participating Teams</w:t>
      </w:r>
    </w:p>
    <w:p w14:paraId="68D3D603" w14:textId="77777777" w:rsidR="00EC0494" w:rsidRDefault="00EC0494" w:rsidP="001C069F">
      <w:r>
        <w:t>What does it mean to participate in the Oceanside PCN?  In addition to ensuring everything we do is culturally safe and embraces equity as a guiding principle, a core ethos of the PCN is that it is to be built by clinicians, for clinicians, maintaining the patient interest at the heart of all decisions. To do that, we, the core PCN program team, need constant and regular engagement and involvement from our entire network of clinicians, for which funding is being provided.</w:t>
      </w:r>
    </w:p>
    <w:p w14:paraId="21C62036" w14:textId="77777777" w:rsidR="00EC0494" w:rsidRDefault="00EC0494" w:rsidP="001C069F">
      <w:r>
        <w:t xml:space="preserve">Participating care teams across the PCN will be supported by the PCN Manager, Change Management Lead, PCN Program Assistant and GPSC Practice Support Program (PSP).  Clinical teams will also be funded for time spent in PCN planning, development, implementation and quality improvement activities related (remember, this is </w:t>
      </w:r>
      <w:r>
        <w:rPr>
          <w:b/>
          <w:i/>
        </w:rPr>
        <w:t>by clinicians, for clinicians</w:t>
      </w:r>
      <w:r>
        <w:t>).  </w:t>
      </w:r>
    </w:p>
    <w:p w14:paraId="12FAF5C5" w14:textId="77777777" w:rsidR="00EC0494" w:rsidRPr="00AD12A2" w:rsidRDefault="00EC0494" w:rsidP="00AD12A2">
      <w:pPr>
        <w:spacing w:after="160" w:line="259" w:lineRule="auto"/>
      </w:pPr>
    </w:p>
    <w:p w14:paraId="72EDAA7A" w14:textId="1DA887A2" w:rsidR="00547BD6" w:rsidRPr="00547BD6" w:rsidRDefault="00547BD6" w:rsidP="00547BD6">
      <w:pPr>
        <w:pStyle w:val="Heading1"/>
        <w:rPr>
          <w:rFonts w:eastAsia="Times New Roman"/>
          <w:lang w:eastAsia="en-CA"/>
        </w:rPr>
      </w:pPr>
      <w:r w:rsidRPr="00547BD6">
        <w:rPr>
          <w:rFonts w:eastAsia="Times New Roman"/>
          <w:lang w:eastAsia="en-CA"/>
        </w:rPr>
        <w:t xml:space="preserve">Recommendations </w:t>
      </w:r>
    </w:p>
    <w:p w14:paraId="208A4830" w14:textId="53F8FB2F" w:rsidR="00ED1EA6" w:rsidRDefault="00EC0494">
      <w:r>
        <w:rPr>
          <w:rFonts w:ascii="Times New Roman" w:eastAsia="Times New Roman" w:hAnsi="Times New Roman" w:cs="Times New Roman"/>
          <w:sz w:val="24"/>
          <w:szCs w:val="24"/>
          <w:lang w:eastAsia="en-CA"/>
        </w:rPr>
        <w:t>For approval to take to the Steering Committee.</w:t>
      </w:r>
    </w:p>
    <w:sectPr w:rsidR="00ED1EA6" w:rsidSect="001C069F">
      <w:pgSz w:w="12240" w:h="15840"/>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B4A"/>
    <w:multiLevelType w:val="multilevel"/>
    <w:tmpl w:val="B91AA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B2DDF"/>
    <w:multiLevelType w:val="multilevel"/>
    <w:tmpl w:val="F9CCA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145E49"/>
    <w:multiLevelType w:val="multilevel"/>
    <w:tmpl w:val="E4E01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16B73"/>
    <w:multiLevelType w:val="multilevel"/>
    <w:tmpl w:val="AD5E7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96FD5"/>
    <w:multiLevelType w:val="multilevel"/>
    <w:tmpl w:val="28BC1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196740"/>
    <w:multiLevelType w:val="multilevel"/>
    <w:tmpl w:val="C3CAD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A34324"/>
    <w:multiLevelType w:val="hybridMultilevel"/>
    <w:tmpl w:val="0B8A1D82"/>
    <w:lvl w:ilvl="0" w:tplc="8222BC1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2F20D8"/>
    <w:multiLevelType w:val="multilevel"/>
    <w:tmpl w:val="5908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E3A11"/>
    <w:multiLevelType w:val="multilevel"/>
    <w:tmpl w:val="C0C6F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1E2EAC"/>
    <w:multiLevelType w:val="multilevel"/>
    <w:tmpl w:val="7820C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4F2CC4"/>
    <w:multiLevelType w:val="multilevel"/>
    <w:tmpl w:val="4A6A4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2A0764"/>
    <w:multiLevelType w:val="hybridMultilevel"/>
    <w:tmpl w:val="093CB1B6"/>
    <w:lvl w:ilvl="0" w:tplc="10090001">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4A5AD0"/>
    <w:multiLevelType w:val="multilevel"/>
    <w:tmpl w:val="28406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6A6F5A"/>
    <w:multiLevelType w:val="multilevel"/>
    <w:tmpl w:val="5358E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584E80"/>
    <w:multiLevelType w:val="multilevel"/>
    <w:tmpl w:val="6E288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963F6E"/>
    <w:multiLevelType w:val="multilevel"/>
    <w:tmpl w:val="362E1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E9284C"/>
    <w:multiLevelType w:val="multilevel"/>
    <w:tmpl w:val="64D48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7943BF"/>
    <w:multiLevelType w:val="multilevel"/>
    <w:tmpl w:val="54AA8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6014B7"/>
    <w:multiLevelType w:val="multilevel"/>
    <w:tmpl w:val="BC745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7A7572"/>
    <w:multiLevelType w:val="multilevel"/>
    <w:tmpl w:val="BF50E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1F5B23"/>
    <w:multiLevelType w:val="multilevel"/>
    <w:tmpl w:val="3E5C9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FC07DC"/>
    <w:multiLevelType w:val="multilevel"/>
    <w:tmpl w:val="5C1AE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3934E1"/>
    <w:multiLevelType w:val="hybridMultilevel"/>
    <w:tmpl w:val="FAC85B1E"/>
    <w:lvl w:ilvl="0" w:tplc="12BCF47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9C56E1"/>
    <w:multiLevelType w:val="multilevel"/>
    <w:tmpl w:val="5EB4B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DD0DA0"/>
    <w:multiLevelType w:val="multilevel"/>
    <w:tmpl w:val="B122D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9A447E"/>
    <w:multiLevelType w:val="multilevel"/>
    <w:tmpl w:val="93688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11"/>
  </w:num>
  <w:num w:numId="4">
    <w:abstractNumId w:val="7"/>
  </w:num>
  <w:num w:numId="5">
    <w:abstractNumId w:val="25"/>
  </w:num>
  <w:num w:numId="6">
    <w:abstractNumId w:val="8"/>
  </w:num>
  <w:num w:numId="7">
    <w:abstractNumId w:val="4"/>
  </w:num>
  <w:num w:numId="8">
    <w:abstractNumId w:val="13"/>
  </w:num>
  <w:num w:numId="9">
    <w:abstractNumId w:val="3"/>
  </w:num>
  <w:num w:numId="10">
    <w:abstractNumId w:val="23"/>
  </w:num>
  <w:num w:numId="11">
    <w:abstractNumId w:val="2"/>
  </w:num>
  <w:num w:numId="12">
    <w:abstractNumId w:val="1"/>
  </w:num>
  <w:num w:numId="13">
    <w:abstractNumId w:val="20"/>
  </w:num>
  <w:num w:numId="14">
    <w:abstractNumId w:val="5"/>
  </w:num>
  <w:num w:numId="15">
    <w:abstractNumId w:val="15"/>
  </w:num>
  <w:num w:numId="16">
    <w:abstractNumId w:val="14"/>
  </w:num>
  <w:num w:numId="17">
    <w:abstractNumId w:val="17"/>
  </w:num>
  <w:num w:numId="18">
    <w:abstractNumId w:val="0"/>
  </w:num>
  <w:num w:numId="19">
    <w:abstractNumId w:val="24"/>
  </w:num>
  <w:num w:numId="20">
    <w:abstractNumId w:val="10"/>
  </w:num>
  <w:num w:numId="21">
    <w:abstractNumId w:val="12"/>
  </w:num>
  <w:num w:numId="22">
    <w:abstractNumId w:val="18"/>
  </w:num>
  <w:num w:numId="23">
    <w:abstractNumId w:val="19"/>
  </w:num>
  <w:num w:numId="24">
    <w:abstractNumId w:val="16"/>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MTY2NbYwM7YwNTVS0lEKTi0uzszPAykwqgUAdi6oKiwAAAA="/>
  </w:docVars>
  <w:rsids>
    <w:rsidRoot w:val="00AD28F8"/>
    <w:rsid w:val="001C069F"/>
    <w:rsid w:val="00547BD6"/>
    <w:rsid w:val="006546ED"/>
    <w:rsid w:val="006761A8"/>
    <w:rsid w:val="006B329C"/>
    <w:rsid w:val="008E65C1"/>
    <w:rsid w:val="00AC2155"/>
    <w:rsid w:val="00AD12A2"/>
    <w:rsid w:val="00AD28F8"/>
    <w:rsid w:val="00E14D43"/>
    <w:rsid w:val="00EC0494"/>
    <w:rsid w:val="00ED1E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532C"/>
  <w15:chartTrackingRefBased/>
  <w15:docId w15:val="{BC055FD4-806D-4595-8659-F6D1A4C6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155"/>
    <w:pPr>
      <w:spacing w:after="0" w:line="240" w:lineRule="auto"/>
    </w:pPr>
  </w:style>
  <w:style w:type="paragraph" w:styleId="Heading1">
    <w:name w:val="heading 1"/>
    <w:basedOn w:val="Normal"/>
    <w:next w:val="Normal"/>
    <w:link w:val="Heading1Char"/>
    <w:autoRedefine/>
    <w:uiPriority w:val="9"/>
    <w:qFormat/>
    <w:rsid w:val="001C069F"/>
    <w:pPr>
      <w:keepNext/>
      <w:keepLines/>
      <w:spacing w:before="120"/>
      <w:ind w:left="120"/>
      <w:outlineLvl w:val="0"/>
    </w:pPr>
    <w:rPr>
      <w:rFonts w:ascii="Cambria" w:eastAsiaTheme="majorEastAsia" w:hAnsi="Cambria" w:cstheme="majorBidi"/>
      <w:b/>
      <w:color w:val="000000"/>
      <w:sz w:val="32"/>
      <w:szCs w:val="32"/>
    </w:rPr>
  </w:style>
  <w:style w:type="paragraph" w:styleId="Heading2">
    <w:name w:val="heading 2"/>
    <w:basedOn w:val="Normal"/>
    <w:next w:val="Normal"/>
    <w:link w:val="Heading2Char"/>
    <w:uiPriority w:val="9"/>
    <w:semiHidden/>
    <w:unhideWhenUsed/>
    <w:qFormat/>
    <w:rsid w:val="00EC04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47BD6"/>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7BD6"/>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547BD6"/>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47BD6"/>
    <w:rPr>
      <w:b/>
      <w:bCs/>
    </w:rPr>
  </w:style>
  <w:style w:type="character" w:customStyle="1" w:styleId="Heading1Char">
    <w:name w:val="Heading 1 Char"/>
    <w:basedOn w:val="DefaultParagraphFont"/>
    <w:link w:val="Heading1"/>
    <w:uiPriority w:val="9"/>
    <w:rsid w:val="001C069F"/>
    <w:rPr>
      <w:rFonts w:ascii="Cambria" w:eastAsiaTheme="majorEastAsia" w:hAnsi="Cambria" w:cstheme="majorBidi"/>
      <w:b/>
      <w:color w:val="000000"/>
      <w:sz w:val="32"/>
      <w:szCs w:val="32"/>
    </w:rPr>
  </w:style>
  <w:style w:type="paragraph" w:styleId="ListParagraph">
    <w:name w:val="List Paragraph"/>
    <w:basedOn w:val="Normal"/>
    <w:autoRedefine/>
    <w:uiPriority w:val="34"/>
    <w:qFormat/>
    <w:rsid w:val="00AC2155"/>
    <w:pPr>
      <w:numPr>
        <w:numId w:val="3"/>
      </w:numPr>
      <w:spacing w:before="120" w:after="120"/>
      <w:contextualSpacing/>
      <w:jc w:val="both"/>
    </w:pPr>
    <w:rPr>
      <w:rFonts w:eastAsia="Times New Roman" w:cs="Times New Roman"/>
      <w:szCs w:val="24"/>
      <w:lang w:eastAsia="en-CA"/>
    </w:rPr>
  </w:style>
  <w:style w:type="character" w:customStyle="1" w:styleId="Heading2Char">
    <w:name w:val="Heading 2 Char"/>
    <w:basedOn w:val="DefaultParagraphFont"/>
    <w:link w:val="Heading2"/>
    <w:uiPriority w:val="9"/>
    <w:semiHidden/>
    <w:rsid w:val="00EC049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863564">
      <w:bodyDiv w:val="1"/>
      <w:marLeft w:val="0"/>
      <w:marRight w:val="0"/>
      <w:marTop w:val="0"/>
      <w:marBottom w:val="0"/>
      <w:divBdr>
        <w:top w:val="none" w:sz="0" w:space="0" w:color="auto"/>
        <w:left w:val="none" w:sz="0" w:space="0" w:color="auto"/>
        <w:bottom w:val="none" w:sz="0" w:space="0" w:color="auto"/>
        <w:right w:val="none" w:sz="0" w:space="0" w:color="auto"/>
      </w:divBdr>
    </w:div>
    <w:div w:id="1233657213">
      <w:bodyDiv w:val="1"/>
      <w:marLeft w:val="0"/>
      <w:marRight w:val="0"/>
      <w:marTop w:val="0"/>
      <w:marBottom w:val="0"/>
      <w:divBdr>
        <w:top w:val="none" w:sz="0" w:space="0" w:color="auto"/>
        <w:left w:val="none" w:sz="0" w:space="0" w:color="auto"/>
        <w:bottom w:val="none" w:sz="0" w:space="0" w:color="auto"/>
        <w:right w:val="none" w:sz="0" w:space="0" w:color="auto"/>
      </w:divBdr>
    </w:div>
    <w:div w:id="17932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pscbc.ca/what-we-do/practice-support/psp/pmh-assessmen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l\Dropbox%20(Central%20Island)\Primary%20Care%20Network\PCN%20Steering%20Committee\Meetings\TEMPLATES\Meeting%20briefing%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briefing note template</Template>
  <TotalTime>10</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Shonda Holt</dc:creator>
  <cp:keywords/>
  <dc:description/>
  <cp:lastModifiedBy>Shonda Holt</cp:lastModifiedBy>
  <cp:revision>6</cp:revision>
  <dcterms:created xsi:type="dcterms:W3CDTF">2021-02-12T22:03:00Z</dcterms:created>
  <dcterms:modified xsi:type="dcterms:W3CDTF">2021-02-17T22:29:00Z</dcterms:modified>
</cp:coreProperties>
</file>